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p4o0wlitay6gmnqonl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Порядка определения, применения и контроля минимального уровня контрольных цен на товары, импортируемые на территорию Кыргызской Республики из государств-членов Евразийского экономического союза" от 12 октября 2016 года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полноты уплаты косвенных налогов,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72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</w:t>
      </w:r>
      <w:r>
        <w:rPr>
          <w:rFonts w:ascii="Arial" w:cs="Arial" w:eastAsia="Arial" w:hAnsi="Arial"/>
          <w:sz w:val="24"/>
          <w:szCs w:val="24"/>
        </w:rPr>
        <w:t xml:space="preserve">статьей 120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df0_zhgq2ibx3ag0i-l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ohvg1boypxbgkmfek1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poiygtikhn9quwweld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cuv1lnru3h_4mlpsy6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определения, применения и контроля минимального уровня контрольных цен на товары, импортируемые на территорию Кыргызской Республики из государств-членов Евразийского экономического союза" от 12 октября 2016 года № 537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rp5cl1j9djm1xoxmwg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определения, применения и контроля минимального уровня контрольных цен на товары, импортируемые на территорию Кыргызской Республики из государств-членов Евразийского экономического союза, утвержденном вышеуказанным </w:t>
      </w:r>
      <w:hyperlink w:history="1" r:id="rIdpiegxyde1lobnlztzt8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Минимальный уровень контрольных цен устанавливается на товары, импортируемые на территорию Кыргызской Республики из государств-членов ЕАЭС, согласно заявлениям, поданным в уполномоченный государственный орган в сфере антимонопольного регулирования. Уполномоченный государственный орган в сфере антимонопольного регулирования ведет Перечень товаров, на которые установлен минимальный уровень контрольных цен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уровень контрольной цены устанавливается на товар, имеющий 10-значный цифровой код товарной номенклатуры внешнеэкономической деятельности (далее - ТН ВЭД ЕАЭС). При изменении кода ТН ВЭД ЕАЭС, в заявлении и в Перечне указываются ранее действующий код и вновь принятый код ТН ВЭД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валюты государства-члена ЕАЭС, используемый при расчетах за ввезенный товар, исчисляется по курсу Национального банка Кыргызской Республики на дату принятия налогоплательщиком на учет импортированных товаров, согласно разделу IX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 товара при определении минимального уровня контрольной цены указывается в соответствии с ТН ВЭД ЕАЭС.";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"и/или дополнений"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заявлении отражается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 Кыргызской Республики в заявлении указывают: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товара, для которого необходимо установить минимальный уровень контрольной цены, с указанием кода ТН ВЭД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предлагаемый размер минимального уровня контрольной цены, с обоснованием необходимости применения минимального уровня контрольной цены и включения в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импортерах и отечественных производителях товара, с указанием реквизитов, а также имеющейся информации об оптовых и розничных ценах на товар, реализуемый на территории Кыргызской Республики, согласно отраслевому законодательству соответствующего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бизнес-ассоциации и налогоплательщики в заявлении указывают: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товара, для которого необходимо установить минимальный уровень контрольной цены, с указанием кода ТН ВЭД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действующую розничную цену, а также оптовые цены импортеров и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цену импортируемых товаров согласно заключенным договорам с поставщиками;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предлагаемый размер минимального уровня контрольной цены, с обоснованием необходимости применения минимального уровня контрольной цены и включения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представленной информации несут бизнес-ассоциации, налогоплательщики и/или государственные органы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"трех" заменить словом "семи", слова "по ценам на товары" заменить словами "по оптовым и розничным ценам на товары";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иным государственным органам, в распоряжении которых имеется информация о ценах на товар, а также импортерах и отечественных производителях, осуществляющих реализацию товара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запрос не направляется заявителю.";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"трех" заменить словом "семи";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На основании полученной информации уполномоченный государственный орган в сфере антимонопольного регулирования в течение семи рабочих дней со дня получения последнего письменного ответа производит расчет, устанавливает минимальный уровень контрольной цены на товар и принимает решение о включении товара в Перечень в соответствии с настоящим</w:t>
      </w:r>
      <w:hyperlink w:history="1" r:id="rIdcl0dafnqqk8xupmfb9u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Размер минимального уровня контрольной цены на товар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информации об оптовых ценах, на основе среднеарифметической розничной цены на товар, с уменьшением полученного результата на 20 процентов,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Сц - (Сц * 20%) = минимальный уровень контрольной цены,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Сц - среднеарифметическая розничная цена;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розничных и оптовых цен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(Сц - (Сц * 20%)) + Со) / 2 = минимальный уровень контрольной цены,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Сц - среднеарифметическая розничная цена;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- среднеарифметическая оптовая цена.";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"по итогам мониторинга, осуществляемого согласно требованиям законодательства в сфере антимонопольного регулирования, а также" заменить словами ", полученных от заявителей,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информации о цене на товар от импортеров и отечественных производителей, уполномоченный государственный орган в сфере антимонопольного регулирования вправе запросить информацию о цене на товар в розничных торговых сетях, действующих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 случае наличия разногласий по предлагаемому размеру минимального уровня контрольной цены, указанному заявителем в заявлении, и размеру минимального уровня контрольной цены, определенному уполномоченным государственным органом в сфере антимонопольного регулирования, уполномоченный государственный орган в сфере антимонопольного регулирования проводит согласительное совещание, по результатам которого принимается коллегиальное решение простым большинством.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согласительном совещании принимают участие налогоплательщики, представители бизнес-ассоциаций и/или государственных органов Кыргызской Республики, обратившиеся в уполномоченный государственный орган в сфере антимонопольного регулирования с заявлением об установлении минимального уровня контрольных цен, а также, при необходимости, указанные в пункте 9 настоящего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лица, в адрес которых были направлены запросы.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рассмотрения материалов на согласительном совещании, срок принятия решения по установлению минимального уровня контрольных цен продлевается на три рабочих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4 слова "и/или дополнений"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"и/или дополнений"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"и/или дополнений"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обоснование необходимости внесения изменений в Перечень, которое формируется с учетом информации, предусмотренной пунктом 7 настоящего </w:t>
      </w:r>
      <w:hyperlink w:history="1" r:id="rIdgcbyva1iq8kg3n0rzui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представленной информации несут налогоплательщики, представители бизнес-ассоциаций и/или государственных органов Кыргызской Республики, обратившиеся в уполномоченный государственный орган в сфере антимонопольного регулирования с заявлением о внесении изменений в Перечень.";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26 и 27 слово "трех" заменить словом "семи", слова "и/или дополнений"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"решение" дополнить словами "простым большинством";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согласительном совещании принимают участие бизнес-ассоциации, налогоплательщики и/или государственные органы Кыргызской Республики, обратившиеся в уполномоченный государственный орган в сфере антимонопольного регулирования с заявлением о внесении изменений в Перечень, а также при необходимости указанные в пункте 9 настоящего порядка лица, в адрес которых были направлены запросы.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рассмотрения материалов на согласительном совещании срок принятия решения о внесении изменений в Перечень продлевается на три рабочих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слова "и/или дополнений"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4o0wlitay6gmnqonl2e" Type="http://schemas.openxmlformats.org/officeDocument/2006/relationships/hyperlink" Target="http://kodeks.duckdns.org/document/230000286" TargetMode="External"/><Relationship Id="rIddf0_zhgq2ibx3ag0i-lxv" Type="http://schemas.openxmlformats.org/officeDocument/2006/relationships/hyperlink" Target="http://kodeks.duckdns.org/document/202445" TargetMode="External"/><Relationship Id="rId4ohvg1boypxbgkmfek193" Type="http://schemas.openxmlformats.org/officeDocument/2006/relationships/hyperlink" Target="http://kodeks.duckdns.org/document/203685" TargetMode="External"/><Relationship Id="rIdepoiygtikhn9quwweldfk" Type="http://schemas.openxmlformats.org/officeDocument/2006/relationships/hyperlink" Target="http://kodeks.duckdns.org/document/98747" TargetMode="External"/><Relationship Id="rIdkcuv1lnru3h_4mlpsy6rf" Type="http://schemas.openxmlformats.org/officeDocument/2006/relationships/hyperlink" Target="http://kodeks.duckdns.org/document/98747" TargetMode="External"/><Relationship Id="rId2rp5cl1j9djm1xoxmwgi1" Type="http://schemas.openxmlformats.org/officeDocument/2006/relationships/hyperlink" Target="http://kodeks.duckdns.org/document/98747" TargetMode="External"/><Relationship Id="rIdpiegxyde1lobnlztzt8-i" Type="http://schemas.openxmlformats.org/officeDocument/2006/relationships/hyperlink" Target="http://kodeks.duckdns.org/document/98747" TargetMode="External"/><Relationship Id="rIdcl0dafnqqk8xupmfb9u0q" Type="http://schemas.openxmlformats.org/officeDocument/2006/relationships/hyperlink" Target="http://kodeks.duckdns.org/document/98747" TargetMode="External"/><Relationship Id="rIdgcbyva1iq8kg3n0rzuivm" Type="http://schemas.openxmlformats.org/officeDocument/2006/relationships/hyperlink" Target="http://kodeks.duckdns.org/document/9874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2026-09-23T08:32:38.851Z</dcterms:created>
  <dcterms:modified xsi:type="dcterms:W3CDTF">2026-09-23T08:32:38.851Z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