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0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22 июня 2017 года № 398</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21 апреля 2021 года № 161</w:t>
      </w:r>
      <w:r>
        <w:rPr>
          <w:rFonts w:ascii="Arial" w:cs="Arial" w:eastAsia="Arial" w:hAnsi="Arial"/>
          <w:i/>
          <w:iCs/>
          <w:sz w:val="24"/>
          <w:szCs w:val="24"/>
        </w:rPr>
        <w:t xml:space="preserve">, Кабинета Министров КР от </w:t>
      </w:r>
      <w:hyperlink w:history="1" r:id="rId6qfhabnab7ftzz61bl7sl">
        <w:r>
          <w:rPr>
            <w:rFonts w:ascii="Arial" w:cs="Arial" w:eastAsia="Arial" w:hAnsi="Arial"/>
            <w:i/>
            <w:iCs/>
            <w:color w:val="1D4ED8"/>
            <w:sz w:val="24"/>
            <w:szCs w:val="24"/>
            <w:u w:val="single"/>
          </w:rPr>
          <w:t xml:space="preserve">15 ноября 2021 года № 264</w:t>
        </w:r>
      </w:hyperlink>
      <w:r>
        <w:rPr>
          <w:rFonts w:ascii="Arial" w:cs="Arial" w:eastAsia="Arial" w:hAnsi="Arial"/>
          <w:i/>
          <w:iCs/>
          <w:sz w:val="24"/>
          <w:szCs w:val="24"/>
        </w:rPr>
        <w:t xml:space="preserve">, </w:t>
      </w:r>
      <w:hyperlink w:history="1" r:id="rIdpos8evp3fpycdxpzz49e7">
        <w:r>
          <w:rPr>
            <w:rFonts w:ascii="Arial" w:cs="Arial" w:eastAsia="Arial" w:hAnsi="Arial"/>
            <w:i/>
            <w:iCs/>
            <w:color w:val="1D4ED8"/>
            <w:sz w:val="24"/>
            <w:szCs w:val="24"/>
            <w:u w:val="single"/>
          </w:rPr>
          <w:t xml:space="preserve">24 ноября 2023 года № 621</w:t>
        </w:r>
      </w:hyperlink>
      <w:r>
        <w:rPr>
          <w:rFonts w:ascii="Arial" w:cs="Arial" w:eastAsia="Arial" w:hAnsi="Arial"/>
          <w:i/>
          <w:iCs/>
          <w:sz w:val="24"/>
          <w:szCs w:val="24"/>
        </w:rPr>
        <w:t xml:space="preserve">, </w:t>
      </w:r>
      <w:r>
        <w:rPr>
          <w:rFonts w:ascii="Arial" w:cs="Arial" w:eastAsia="Arial" w:hAnsi="Arial"/>
          <w:i/>
          <w:iCs/>
          <w:sz w:val="24"/>
          <w:szCs w:val="24"/>
        </w:rPr>
        <w:t xml:space="preserve">от </w:t>
      </w:r>
      <w:hyperlink w:history="1" r:id="rIdyrcrvm7qllooitl-hzrxc">
        <w:r>
          <w:rPr>
            <w:rFonts w:ascii="Arial" w:cs="Arial" w:eastAsia="Arial" w:hAnsi="Arial"/>
            <w:i/>
            <w:iCs/>
            <w:color w:val="1D4ED8"/>
            <w:sz w:val="24"/>
            <w:szCs w:val="24"/>
            <w:u w:val="single"/>
          </w:rPr>
          <w:t xml:space="preserve">29 декабря 2023 года № 733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приведения решений Правительства Кыргызской Республики в соответствие с </w:t>
      </w:r>
      <w:hyperlink w:history="1" r:id="rIdm_od1jcnvggg3csxie8m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w:t>
      </w:r>
      <w:hyperlink w:history="1" r:id="rIdlxtw4okz8225phkcdk_h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Законом Кыргызской Республики "О Национальном банке Кыргызской Республики, банках и банковской деятельности",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1t3rj8ovtc2a05_6qkut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nxvm-fmprxi8f93_8jtq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апреля 2021 года № 161)</w:t>
      </w:r>
    </w:p>
    <w:p>
      <w:pPr>
        <w:spacing w:after="120"/>
        <w:ind w:firstLine="397"/>
        <w:jc w:val="both"/>
      </w:pPr>
      <w:r>
        <w:rPr>
          <w:rFonts w:ascii="Arial" w:cs="Arial" w:eastAsia="Arial" w:hAnsi="Arial"/>
          <w:sz w:val="24"/>
          <w:szCs w:val="24"/>
        </w:rPr>
        <w:t xml:space="preserve">2. Внести в </w:t>
      </w:r>
      <w:hyperlink w:history="1" r:id="rIdaj2fx4gvfdm4wdrmtpw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inbohuyukxe3xozej-2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назначения администратора государственным органом по делам о банкротстве" от 22 августа 2002 года № 584 следующее изменение:</w:t>
      </w:r>
    </w:p>
    <w:p>
      <w:pPr>
        <w:spacing w:after="120"/>
        <w:ind w:firstLine="397"/>
        <w:jc w:val="both"/>
      </w:pPr>
      <w:r>
        <w:rPr>
          <w:rFonts w:ascii="Arial" w:cs="Arial" w:eastAsia="Arial" w:hAnsi="Arial"/>
          <w:sz w:val="24"/>
          <w:szCs w:val="24"/>
        </w:rPr>
        <w:t xml:space="preserve">в </w:t>
      </w:r>
      <w:hyperlink w:history="1" r:id="rIdivmc84ca4fczq-sgvhkc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назначения администратора государственным органом по делам о банкротстве, утвержденном вышеуказанным </w:t>
      </w:r>
      <w:hyperlink w:history="1" r:id="rIdtkfgywk8rlxgjnk4_yvh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второй пункта 1 изложить в следующей редакции:</w:t>
      </w:r>
    </w:p>
    <w:p>
      <w:pPr>
        <w:spacing w:after="120"/>
        <w:ind w:firstLine="397"/>
        <w:jc w:val="both"/>
      </w:pPr>
      <w:r>
        <w:rPr>
          <w:rFonts w:ascii="Arial" w:cs="Arial" w:eastAsia="Arial" w:hAnsi="Arial"/>
          <w:sz w:val="24"/>
          <w:szCs w:val="24"/>
        </w:rPr>
        <w:t xml:space="preserve">"Настоящее Положение также может применяться в отношении назначения, отстранения и освобождения администраторов собранием кредиторов во внесудебном порядке. При банкротстве банков и иных финансово-кредитных организаций, за исключением финансово-кредитных организаций, не привлекающих депозиты, порядок назначения и прекращения полномочий Временных администраторов и ликвидаторов устанавливается в соответствии с </w:t>
      </w:r>
      <w:hyperlink w:history="1" r:id="rIdwr7ccxgyt9dyq0y6hptn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3. Внести в </w:t>
      </w:r>
      <w:hyperlink w:history="1" r:id="rIdsuddwtio8kqbadzgosib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укреплению связей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и предприятий с уполномоченным государственным органом, осуществляющим охрану и защиту государственной границы Кыргызской Республики" от 20 января 2006 года № 34 следующее изменение:</w:t>
      </w:r>
    </w:p>
    <w:p>
      <w:pPr>
        <w:spacing w:after="120"/>
        <w:ind w:firstLine="397"/>
        <w:jc w:val="both"/>
      </w:pPr>
      <w:r>
        <w:rPr>
          <w:rFonts w:ascii="Arial" w:cs="Arial" w:eastAsia="Arial" w:hAnsi="Arial"/>
          <w:sz w:val="24"/>
          <w:szCs w:val="24"/>
        </w:rPr>
        <w:t xml:space="preserve">в </w:t>
      </w:r>
      <w:hyperlink w:history="1" r:id="rIdyf94gso6agtm8pcq3knsi">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предприятий, организаций, осуществляющих шефство над подразделениями уполномоченного государственного органа, осуществляющего охрану государственной границы, утвержденном вышеуказанным </w:t>
      </w:r>
      <w:hyperlink w:history="1" r:id="rIdfjpjhyekq0h4kk8c70fk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разделе "Войсковая часть 2024":</w:t>
      </w:r>
    </w:p>
    <w:p>
      <w:pPr>
        <w:spacing w:after="120"/>
        <w:ind w:firstLine="397"/>
        <w:jc w:val="both"/>
      </w:pPr>
      <w:r>
        <w:rPr>
          <w:rFonts w:ascii="Arial" w:cs="Arial" w:eastAsia="Arial" w:hAnsi="Arial"/>
          <w:sz w:val="24"/>
          <w:szCs w:val="24"/>
        </w:rPr>
        <w:t xml:space="preserve">- абзац пятый признать утратившим силу.</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dl__xngk7fncbb_cmbfv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ноября 2023 года № 621)</w:t>
      </w:r>
    </w:p>
    <w:p>
      <w:pPr>
        <w:spacing w:after="120"/>
        <w:ind w:firstLine="397"/>
        <w:jc w:val="both"/>
      </w:pPr>
      <w:r>
        <w:rPr>
          <w:rFonts w:ascii="Arial" w:cs="Arial" w:eastAsia="Arial" w:hAnsi="Arial"/>
          <w:sz w:val="24"/>
          <w:szCs w:val="24"/>
        </w:rPr>
        <w:t xml:space="preserve">5. Внести в </w:t>
      </w:r>
      <w:hyperlink w:history="1" r:id="rIdxwto8blopse8bhrkvoe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критериях отбора коммерческих банков по обслуживанию финансовых потоков государственного бюджета Кыргызской Республики, Социального фонда Кыргызской Республики и государственных предприятий" от 1 марта 2011 года № 81 следующее изменение:</w:t>
      </w:r>
    </w:p>
    <w:p>
      <w:pPr>
        <w:spacing w:after="120"/>
        <w:ind w:firstLine="397"/>
        <w:jc w:val="both"/>
      </w:pPr>
      <w:r>
        <w:rPr>
          <w:rFonts w:ascii="Arial" w:cs="Arial" w:eastAsia="Arial" w:hAnsi="Arial"/>
          <w:sz w:val="24"/>
          <w:szCs w:val="24"/>
        </w:rPr>
        <w:t xml:space="preserve">- в абзаце пятом пункта 1 в тексте на официальном языке слова "О Национальном банке Кыргызской Республики", "О банках и банковской деятельности в Кыргызской Республике" и "О противодействии финансированию терроризма и легализации (отмыванию) доходов, полученных преступным путем" заменить словами "О Национальном банке Кыргызской Республики, банках и банковской деятельности" и "О противодействии легализации (отмыванию) преступных доходов и финансированию террористической или экстремистской деятельности";</w:t>
      </w:r>
    </w:p>
    <w:p>
      <w:pPr>
        <w:spacing w:after="120"/>
        <w:ind w:firstLine="397"/>
        <w:jc w:val="both"/>
      </w:pPr>
      <w:r>
        <w:rPr>
          <w:rFonts w:ascii="Arial" w:cs="Arial" w:eastAsia="Arial" w:hAnsi="Arial"/>
          <w:sz w:val="24"/>
          <w:szCs w:val="24"/>
        </w:rPr>
        <w:t xml:space="preserve">- пункт 1 текста на государственном языке дополнить абзацем пятым следующего содержания:</w:t>
      </w:r>
    </w:p>
    <w:p>
      <w:pPr>
        <w:spacing w:after="120"/>
        <w:ind w:firstLine="397"/>
        <w:jc w:val="both"/>
      </w:pPr>
      <w:r>
        <w:rPr>
          <w:rFonts w:ascii="Arial" w:cs="Arial" w:eastAsia="Arial" w:hAnsi="Arial"/>
          <w:sz w:val="24"/>
          <w:szCs w:val="24"/>
        </w:rPr>
        <w:t xml:space="preserve">"Кыргыз Республикасынын Улуттук банкы, банктар жана банк иштери жонундо" жана "Кылмыштуу кирешелерди легализациялоого (адалдоого) жана террористтик же экстремисттик ишти каржылоого каршы аракеттенуу жонундо" Кыргыз Республикасынын мыйзамдарында каралган таасир беруу чараларынын жана айыптык санкциялардын жоктугу, тендер откорулгондон мурунку отчеттук жылдын ичинде;".</w:t>
      </w:r>
    </w:p>
    <w:p>
      <w:pPr>
        <w:spacing w:after="120"/>
        <w:ind w:firstLine="397"/>
        <w:jc w:val="both"/>
      </w:pPr>
      <w:r>
        <w:rPr>
          <w:rFonts w:ascii="Arial" w:cs="Arial" w:eastAsia="Arial" w:hAnsi="Arial"/>
          <w:sz w:val="24"/>
          <w:szCs w:val="24"/>
        </w:rPr>
        <w:t xml:space="preserve">6.</w:t>
      </w:r>
      <w:r>
        <w:rPr>
          <w:rFonts w:ascii="Arial" w:cs="Arial" w:eastAsia="Arial" w:hAnsi="Arial"/>
          <w:i/>
          <w:iCs/>
          <w:sz w:val="24"/>
          <w:szCs w:val="24"/>
        </w:rPr>
        <w:t xml:space="preserve"> ( утратил силу в соответствии с </w:t>
      </w:r>
      <w:hyperlink w:history="1" r:id="rIdd_ooh9yrz96knjs-ckiq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декабря 2023 года № 733)</w:t>
      </w:r>
    </w:p>
    <w:p>
      <w:pPr>
        <w:spacing w:after="120"/>
        <w:ind w:firstLine="708"/>
        <w:jc w:val="both"/>
      </w:pPr>
      <w:r>
        <w:rPr>
          <w:rFonts w:ascii="Arial" w:cs="Arial" w:eastAsia="Arial" w:hAnsi="Arial"/>
          <w:i/>
          <w:iCs/>
          <w:sz w:val="24"/>
          <w:szCs w:val="24"/>
        </w:rPr>
        <w:t xml:space="preserve">7. (Утратил силу в соответствии с </w:t>
      </w:r>
      <w:hyperlink w:history="1" r:id="rIdtqi3yweoknxqtosa6hp7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ноября 2021 года № 264)</w:t>
      </w:r>
    </w:p>
    <w:p>
      <w:pPr>
        <w:spacing w:after="120"/>
        <w:ind w:firstLine="397"/>
        <w:jc w:val="both"/>
      </w:pPr>
      <w:r>
        <w:rPr>
          <w:rFonts w:ascii="Arial" w:cs="Arial" w:eastAsia="Arial" w:hAnsi="Arial"/>
          <w:sz w:val="24"/>
          <w:szCs w:val="24"/>
        </w:rPr>
        <w:t xml:space="preserve">8. Настоящее постановление вступает в силу с 22 июня 2017 года.</w:t>
      </w:r>
    </w:p>
    <w:p>
      <w:pPr>
        <w:spacing w:after="120"/>
        <w:ind w:firstLine="397"/>
        <w:jc w:val="both"/>
      </w:pPr>
      <w:r>
        <w:rPr>
          <w:rFonts w:ascii="Arial" w:cs="Arial" w:eastAsia="Arial" w:hAnsi="Arial"/>
          <w:sz w:val="24"/>
          <w:szCs w:val="24"/>
        </w:rPr>
        <w:t xml:space="preserve">9. Опубликовать настоящее постановление в официальных средствах массовой информации.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qfhabnab7ftzz61bl7sl" Type="http://schemas.openxmlformats.org/officeDocument/2006/relationships/hyperlink" Target="http://kodeks.duckdns.org/document/158720" TargetMode="External"/><Relationship Id="rIdpos8evp3fpycdxpzz49e7" Type="http://schemas.openxmlformats.org/officeDocument/2006/relationships/hyperlink" Target="http://kodeks.duckdns.org/document/160633" TargetMode="External"/><Relationship Id="rIdyrcrvm7qllooitl-hzrxc" Type="http://schemas.openxmlformats.org/officeDocument/2006/relationships/hyperlink" Target="http://kodeks.duckdns.org/document/230000478" TargetMode="External"/><Relationship Id="rIdm_od1jcnvggg3csxie8mm" Type="http://schemas.openxmlformats.org/officeDocument/2006/relationships/hyperlink" Target="http://kodeks.duckdns.org/document/111487" TargetMode="External"/><Relationship Id="rIdlxtw4okz8225phkcdk_hz" Type="http://schemas.openxmlformats.org/officeDocument/2006/relationships/hyperlink" Target="http://kodeks.duckdns.org/document/111486" TargetMode="External"/><Relationship Id="rId1t3rj8ovtc2a05_6qkutd" Type="http://schemas.openxmlformats.org/officeDocument/2006/relationships/hyperlink" Target="http://kodeks.duckdns.org/document/203685" TargetMode="External"/><Relationship Id="rIdnxvm-fmprxi8f93_8jtq5" Type="http://schemas.openxmlformats.org/officeDocument/2006/relationships/hyperlink" Target="http://kodeks.duckdns.org/document/158161" TargetMode="External"/><Relationship Id="rIdaj2fx4gvfdm4wdrmtpwbj" Type="http://schemas.openxmlformats.org/officeDocument/2006/relationships/hyperlink" Target="http://kodeks.duckdns.org/document/53769" TargetMode="External"/><Relationship Id="rIdzinbohuyukxe3xozej-2m" Type="http://schemas.openxmlformats.org/officeDocument/2006/relationships/hyperlink" Target="http://kodeks.duckdns.org/document/53775" TargetMode="External"/><Relationship Id="rIdivmc84ca4fczq-sgvhkch" Type="http://schemas.openxmlformats.org/officeDocument/2006/relationships/hyperlink" Target="http://kodeks.duckdns.org/document/53775" TargetMode="External"/><Relationship Id="rIdtkfgywk8rlxgjnk4_yvhj" Type="http://schemas.openxmlformats.org/officeDocument/2006/relationships/hyperlink" Target="http://kodeks.duckdns.org/document/53769" TargetMode="External"/><Relationship Id="rIdwr7ccxgyt9dyq0y6hptnf" Type="http://schemas.openxmlformats.org/officeDocument/2006/relationships/hyperlink" Target="http://kodeks.duckdns.org/document/111486" TargetMode="External"/><Relationship Id="rIdsuddwtio8kqbadzgosib7" Type="http://schemas.openxmlformats.org/officeDocument/2006/relationships/hyperlink" Target="http://kodeks.duckdns.org/document/57054" TargetMode="External"/><Relationship Id="rIdyf94gso6agtm8pcq3knsi" Type="http://schemas.openxmlformats.org/officeDocument/2006/relationships/hyperlink" Target="http://kodeks.duckdns.org/document/57054#&#1088;1" TargetMode="External"/><Relationship Id="rIdfjpjhyekq0h4kk8c70fkc" Type="http://schemas.openxmlformats.org/officeDocument/2006/relationships/hyperlink" Target="http://kodeks.duckdns.org/document/57054" TargetMode="External"/><Relationship Id="rIddl__xngk7fncbb_cmbfvs" Type="http://schemas.openxmlformats.org/officeDocument/2006/relationships/hyperlink" Target="http://kodeks.duckdns.org/document/160633" TargetMode="External"/><Relationship Id="rIdxwto8blopse8bhrkvoevy" Type="http://schemas.openxmlformats.org/officeDocument/2006/relationships/hyperlink" Target="http://kodeks.duckdns.org/document/92483" TargetMode="External"/><Relationship Id="rIdd_ooh9yrz96knjs-ckiqi" Type="http://schemas.openxmlformats.org/officeDocument/2006/relationships/hyperlink" Target="http://kodeks.duckdns.org/document/230000478" TargetMode="External"/><Relationship Id="rIdtqi3yweoknxqtosa6hp7z" Type="http://schemas.openxmlformats.org/officeDocument/2006/relationships/hyperlink" Target="http://kodeks.duckdns.org/document/158720"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2026-09-23T08:42:56.867Z</dcterms:created>
  <dcterms:modified xsi:type="dcterms:W3CDTF">2026-09-23T08:42:56.867Z</dcterms:modified>
</cp:coreProperties>
</file>

<file path=docProps/custom.xml><?xml version="1.0" encoding="utf-8"?>
<Properties xmlns="http://schemas.openxmlformats.org/officeDocument/2006/custom-properties" xmlns:vt="http://schemas.openxmlformats.org/officeDocument/2006/docPropsVTypes"/>
</file>