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2015 года № 103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наружном видеонаблюдении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-g9xdhag3hiczgn84xg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2017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usziq8t5bhrxihtiog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2022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конституционными нормами защиты национальной безопасности, общественного порядка, охраны здоровья и нравственности населения, защиты прав и свобод других лиц, настоящим Законом вводится обязательное оснащение зданий и сооружений независимо от форм собственности системой наружного видеонаблюдения.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основные направления создания, модернизации и развития системы наружного видеонаблюдения объектов.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Цель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установление дополнительной меры по предупреждению, пресечению преступности и обеспечению общественной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Сфера действия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настоящего Закона распространяется на юридические и физические лица, эксплуатирующие объекты, подлежащие оснащению системой наружного видеонаблюдения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применяется после принятия местным кенешем решения об установлении системы наружного видеонаблюдения объектам публичного характера, расположенным на территории соответствующей административно-территориальной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l5bi0ntuzyyqhltzm4z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2022 года № 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понятия, применяемые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видеонаблюдение</w:t>
      </w:r>
      <w:r>
        <w:rPr>
          <w:rFonts w:ascii="Arial" w:cs="Arial" w:eastAsia="Arial" w:hAnsi="Arial"/>
          <w:sz w:val="24"/>
          <w:szCs w:val="24"/>
        </w:rPr>
        <w:t xml:space="preserve"> - это процесс, осуществляемый с помощью оптико-электронных устройств, предназначенных для визуального контроля или автоматического анализа изображений с целью автоматической фиксации нарушений и хранения, для последующего использования в случаях, предусмотренных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муниципальный орган, юридическое или физическое лицо, организующие и (или) осуществляющие обработку видеонаблюдения;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информация персонального характера (персональные данные)</w:t>
      </w:r>
      <w:r>
        <w:rPr>
          <w:rFonts w:ascii="Arial" w:cs="Arial" w:eastAsia="Arial" w:hAnsi="Arial"/>
          <w:sz w:val="24"/>
          <w:szCs w:val="24"/>
        </w:rPr>
        <w:t xml:space="preserve"> - зафиксированная информация на материальном носителе о конкретном человеке, отождествленная с конкретным человеком или которая может быть отождествлена с конкретным человеком, позволяющая идентифицировать этого человека прямо или косвенно посредством ссылки на один или несколько факторов, специфичных для его биологической, экономической, культурной, гражданской или социальной идентичности.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персональным данным относятся биографические и опознавательные данные, личные характеристики, сведения о семейном положении, финансовом положении, состоянии здоровья и прочее;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наружного видеонаблюдения (далее - СНВН)</w:t>
      </w:r>
      <w:r>
        <w:rPr>
          <w:rFonts w:ascii="Arial" w:cs="Arial" w:eastAsia="Arial" w:hAnsi="Arial"/>
          <w:sz w:val="24"/>
          <w:szCs w:val="24"/>
        </w:rPr>
        <w:t xml:space="preserve"> - оборудование для записи изображения и звука с возможностью последующего воспроизведения;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третьи лица</w:t>
      </w:r>
      <w:r>
        <w:rPr>
          <w:rFonts w:ascii="Arial" w:cs="Arial" w:eastAsia="Arial" w:hAnsi="Arial"/>
          <w:sz w:val="24"/>
          <w:szCs w:val="24"/>
        </w:rPr>
        <w:t xml:space="preserve"> - все лица, кроме собственника, руководителя, оператора объекта СНВН.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Законодательство Кыргызской Республики в области наружного видеонаблюдения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области наружного видеонаблюдения состоит из </w:t>
      </w:r>
      <w:hyperlink w:history="1" r:id="rIdg0pn7dcham1-llwff9i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настоящего Закона и других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Задачи СНВН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СНВН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общественной безопасности от противоправных действий других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фиксирование событий с целью выявления противоправных действий;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 движения на объектах СНВН;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дополнительных мер по предупреждению, пресечению и раскрытию преступлений и правонарушений;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восстановление реальной картины произошедшего на территориях оснащаемых СНВН объектов посредством просмотра видеоархивов.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Объекты, подлежащие оснащению СНВН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объектам СНВН, за исключением объектов облегченного типа общей площадью не более 40 кв.м,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места, открытые для общественного доступа (площади, рынки, парки, скверы, автодороги, улицы, бульвары, перекрестки, мосты, железнодорожные переезды, транспортные узлы, тоннели), и прилегающие к ним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прилегающая территория зданий, сооружений, в которых осуществляется промышленная и другая производственная либо иная предпринимательская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прилегающая территория зданий: жилых, общественных, административных, многофункциональных и непроизводственных;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автомобильные стоянки, кооперативные гаражи.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Компетенция государственных органов и органов местного самоуправления в сфере оснащения СНВН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регулирование в области оснащения СНВН осуществляется государственным уполномоченным органом в сфере обеспечения общественного порядка, безопасности личности, общества и борьбы с преступностью совместно с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требования к СНВН определяются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компетенции уполномоченного государственного органа в сфере обеспечения общественного порядка, безопасности личности, общества и борьбы с преступностью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государственной политики в области создания, модернизации и развития СНВН;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угла ракурса и обозримости при установке СНВН;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требований и целевых программ СНВН;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координация работ по подготовке проектов, направленных на повышение эффективности работ СНВН;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ведение реестра объектов, оснащенных СНВН.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компетенции органов местного самоуправления относится утверждение местным кенешем по представлению исполнительных органов местного самоуправления списка объектов организаций, предприятий и учреждений, расположенных на территории соответствующей административно-территориальной единицы, подлежащих установлению СНВН, за исключением объектов, находящихся в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r_nfo4nf-lsowwnigs9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2017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bg8ni7rthh9uxz5ibf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2022 года № 46)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Установление объектами СНВН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Объекты публичного характера подлежат оснащению СНВН в случае их включения в список объектов организаций, предприятий и учреждений, подлежащих оснащению СНВН, утверждаемый в соответствии с частью 3 </w:t>
      </w:r>
      <w:hyperlink w:history="1" r:id="rIdbcilyhjmtgsnvmzvhpf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установлении СНВН на соответствующий объект собственник (руководитель) должен согласовать с уполномоченным государственным органом угол ракурса и обозримость устанавливаемой СНВН.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Должностным лицам уполномоченного государственного органа в ходе согласования установления СНВН запрещается требовать дополнительные правила по техническим параметрам оборудования.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 на приобретение и установление устройств СНВН производятся за счет средств собственника объекта, подлежащего оснащению СНВН, в соответствии с настоящим Законом, за исключением жилых объектов, не связанных с осуществлением предпринимательской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Установление СНВН в местах, открытых для общественного доступа (площади, муниципальные рынки, парки, скверы, автодороги, улицы, бульвары, перекрестки, мосты, железнодорожные переезды, транспортные узлы, тоннели), обеспечивается органами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Конфиденциальность персональных данных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Операторами и лицами, имеющими доступ к персональным данным, должна обеспечиваться конфиденциальность таких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объекты, оснащенные СНВН, должны иметь специальные предупредительные надписи на государственном и официальном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Предупредительные надписи (вывески, табло, таблички или иные носители) размещаются в местах, обеспечивающих гарантированную видимость в дневное и ночное время суток.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Доступ к материалам СНВН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Собственники (руководители) объектов СНВН предоставляют копию соответствующей видеозаписи органам следствия, дознания или суду в случаях, по основаниям и в порядке,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СНВН должна быть оснащена защитой от несанкционированного доступа третьих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Собственникам (руководителям) объектов СНВН, а также лицам, имеющим доступ к СНВН в силу служебных обязанностей, запрещается предоставлять видеозаписи или разглашать информацию, содержащуюся в видеозаписях, третьим лицам, использовать эту информацию или видеозаписи в личных интересах или интересах третьих лиц, а также прямо или косвенно предоставлять возможность такого использования третьими лицами, за исключением случаев, установленных частью 1 настоящей статьи.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Лицо, имеющее доступ к материалам СНВН, за нарушение настоящего Закона, в том числе за разглашение сведений, полученных с материалов СНВН, несет ответственность, предусмотренную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Материалы, зафиксированные СНВН, должны храниться в течение трех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Использование видеозаписей СНВН осуществляется в строгом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Контроль за исполнением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Закона осуществляется уполномоченным государственным органом (его территориальными органами) путем принятия мер,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Ответственность за нарушение требований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требований настоящего Закона,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Порядок вступления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и органам местного самоуправления в трехмесячный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соответствующие меры по реализации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otf5jqfousqzxk2k32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dalil.kg/document/111146</w:t>
      </w:r>
    </w:hyperlink>
  </w:p>
  <w:p>
    <w:pPr>
      <w:spacing w:after="0" w:before="40"/>
      <w:jc w:val="center"/>
    </w:pPr>
    <w:hyperlink w:history="1" r:id="rIdvupruwddgvmgp7rrqht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g9xdhag3hiczgn84xgzk" Type="http://schemas.openxmlformats.org/officeDocument/2006/relationships/hyperlink" Target="https://dalil.kg/document/111532" TargetMode="External"/><Relationship Id="rId_usziq8t5bhrxihtiogky" Type="http://schemas.openxmlformats.org/officeDocument/2006/relationships/hyperlink" Target="https://dalil.kg/document/112378" TargetMode="External"/><Relationship Id="rIdl5bi0ntuzyyqhltzm4zdc" Type="http://schemas.openxmlformats.org/officeDocument/2006/relationships/hyperlink" Target="https://dalil.kg/document/112378" TargetMode="External"/><Relationship Id="rIdg0pn7dcham1-llwff9ipb" Type="http://schemas.openxmlformats.org/officeDocument/2006/relationships/hyperlink" Target="https://dalil.kg/document/202913" TargetMode="External"/><Relationship Id="rIdr_nfo4nf-lsowwnigs9sb" Type="http://schemas.openxmlformats.org/officeDocument/2006/relationships/hyperlink" Target="https://dalil.kg/document/111532" TargetMode="External"/><Relationship Id="rIdjbg8ni7rthh9uxz5ibftk" Type="http://schemas.openxmlformats.org/officeDocument/2006/relationships/hyperlink" Target="https://dalil.kg/document/112378" TargetMode="External"/><Relationship Id="rIdbcilyhjmtgsnvmzvhpfp1" Type="http://schemas.openxmlformats.org/officeDocument/2006/relationships/hyperlink" Target="https://dalil.kg/document/111146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otf5jqfousqzxk2k32tz" Type="http://schemas.openxmlformats.org/officeDocument/2006/relationships/hyperlink" Target="https://dalil.kg/document/111146" TargetMode="External"/><Relationship Id="rIdvupruwddgvmgp7rrqht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2026-09-23T23:25:07.609Z</dcterms:created>
  <dcterms:modified xsi:type="dcterms:W3CDTF">2026-09-23T23:25:07.609Z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