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деятельности ломбардов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gdngc2fbgg73zbl54r7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selwyjz-ayuhcmtvgi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2018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-fbug_p9nmpuxuoxu9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zpegrqc0kevqjazzf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ломбард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(специализированная организация), осуществляющее предоставление краткосрочных займов взамен находящегося под закладом движимого имущества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деятельность ломбардов</w:t>
      </w:r>
      <w:r>
        <w:rPr>
          <w:rFonts w:ascii="Arial" w:cs="Arial" w:eastAsia="Arial" w:hAnsi="Arial"/>
          <w:sz w:val="24"/>
          <w:szCs w:val="24"/>
        </w:rPr>
        <w:t xml:space="preserve"> - деятельность юридических лиц, имеющих лицензию по предоставлению краткосрочных займов взамен находящегося под закладом движимого имущества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территория ломбарда</w:t>
      </w:r>
      <w:r>
        <w:rPr>
          <w:rFonts w:ascii="Arial" w:cs="Arial" w:eastAsia="Arial" w:hAnsi="Arial"/>
          <w:sz w:val="24"/>
          <w:szCs w:val="24"/>
        </w:rPr>
        <w:t xml:space="preserve"> - охраняемая специализированная территория основного помещения, предназначенного для приема заемщиков, предоставления краткосрочных займов, хранения финансовых документов, наличных денег,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малогабаритное имущество</w:t>
      </w:r>
      <w:r>
        <w:rPr>
          <w:rFonts w:ascii="Arial" w:cs="Arial" w:eastAsia="Arial" w:hAnsi="Arial"/>
          <w:sz w:val="24"/>
          <w:szCs w:val="24"/>
        </w:rPr>
        <w:t xml:space="preserve"> - ювелирные изделия, а также другое движимое имущество, которое хранится в несгораемых сейфах ломбарда, установленных на территории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крупногабаритное имущество</w:t>
      </w:r>
      <w:r>
        <w:rPr>
          <w:rFonts w:ascii="Arial" w:cs="Arial" w:eastAsia="Arial" w:hAnsi="Arial"/>
          <w:sz w:val="24"/>
          <w:szCs w:val="24"/>
        </w:rPr>
        <w:t xml:space="preserve"> - движимое имущество, которое хранится на территории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 по займу</w:t>
      </w:r>
      <w:r>
        <w:rPr>
          <w:rFonts w:ascii="Arial" w:cs="Arial" w:eastAsia="Arial" w:hAnsi="Arial"/>
          <w:sz w:val="24"/>
          <w:szCs w:val="24"/>
        </w:rPr>
        <w:t xml:space="preserve"> - договор займа, залоговый билет, а также другие документы, установленные настоящим Законом и другими нормативными правовыми актами, регулирующими гражданские правоотношения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займа</w:t>
      </w:r>
      <w:r>
        <w:rPr>
          <w:rFonts w:ascii="Arial" w:cs="Arial" w:eastAsia="Arial" w:hAnsi="Arial"/>
          <w:sz w:val="24"/>
          <w:szCs w:val="24"/>
        </w:rPr>
        <w:t xml:space="preserve"> - договор между ломбардом и заемщиком на определенный срок с выдачей залогового билета;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залоговый билет</w:t>
      </w:r>
      <w:r>
        <w:rPr>
          <w:rFonts w:ascii="Arial" w:cs="Arial" w:eastAsia="Arial" w:hAnsi="Arial"/>
          <w:sz w:val="24"/>
          <w:szCs w:val="24"/>
        </w:rPr>
        <w:t xml:space="preserve"> - документ учета заклада, формируемый и выдаваемый в бумажном виде и/или в электронном виде, который выдается заемщику при подписании договора о займе;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заклад</w:t>
      </w:r>
      <w:r>
        <w:rPr>
          <w:rFonts w:ascii="Arial" w:cs="Arial" w:eastAsia="Arial" w:hAnsi="Arial"/>
          <w:sz w:val="24"/>
          <w:szCs w:val="24"/>
        </w:rPr>
        <w:t xml:space="preserve"> - вид залога, когда заложенное имущество передается от залогодателя во владение залогодержателю в соответствии с договором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невостребованное имущество</w:t>
      </w:r>
      <w:r>
        <w:rPr>
          <w:rFonts w:ascii="Arial" w:cs="Arial" w:eastAsia="Arial" w:hAnsi="Arial"/>
          <w:sz w:val="24"/>
          <w:szCs w:val="24"/>
        </w:rPr>
        <w:t xml:space="preserve"> - имущество, переданное ломбарду и невостребованное заемщиком в сроки, определенные договором займа.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деятельности ломбардов основывается на </w:t>
      </w:r>
      <w:hyperlink w:history="1" r:id="rIdnj26ychj0nbf3loxulf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нормативных правовых актов Кыргызской Республики, регулирующих деятельность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Лицензирование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ломбардов осуществляется в соответствии с законодательством в сфере лицензионно-разрешительной системы в Кыргызской Республике. Лицензиаром является орган, уполномоченный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dbzxclszetfoeviqmp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условия и требования к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должен иметь печать, название, изложенное на государственном и официальном языках, содержащее слово "ломбард" и указание на его организационно-правовую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создается в форме общества с дополнительной ответственностью или полного товарищества в соответствии с законодательством Кыргызской Республики и приобретает статус юридического лица с момента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в процессе своей деятельности может использовать собственные средства и кредиты, полученные в кредитных организациях и прочих организациях, в порядке, установленном гражданским законодательством Кыргызской Республики в сфере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с целью предоставления краткосрочных займов вправе принимать в заклад движимое имущество, предназначенное для личного потребления, от граждан Кыргызской Республики, а также иностранных граждан и лиц без гражданства, достигших возраста 18 лет, по предъявлению паспорта или иного документа, удостоверяющего личность заемщика, за исключением имущества, изъятого из оборота, а также имущества, оборот которого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Ломбард осуществляет деятельность, предусмотренную настоящим Законом, Гражданским </w:t>
      </w:r>
      <w:hyperlink w:history="1" r:id="rIdkulgykxse0gpoaxtu-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Ломбард не вправе распоряжаться заложенным имуществом, за исключением случая, предусмотренного </w:t>
      </w:r>
      <w:hyperlink w:history="1" r:id="rIdlraz9qwswenz432r5ez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Ломбард обязан хранить заложенное малогабаритное имущество в несгораемом сейфе ломбарда, а крупногабаритное имущество - на территории ломбарда, принадлежащей ему на праве собственности или на правах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несет ответственность за утрату и повреждение заложенного имущества, если не докажет, что утрата или повреждение произошли вследствие непреодолимой силы, то есть чрезвычайных и непредотвратимых при данных условиях обстоятельств (форс-мажор).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ломбарда должны быть созданы условия для хранения заложенного имущества, обеспечивающие его сохранность и исключающие доступ к нему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Крупногабаритное имущество, заложенное в ломбард, подлежит опломбировке в целях недопущения его неправомерного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и формы отчетности, минимальные требования к организации деятельности ломбарда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 всех помещениях ломбарда, в которых осуществляется обслуживание клиентов, должны быть размещены стенды, содержащие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условиях и порядке предоставления услуг ломбардом;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перечне документов, необходимых для получения услуг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перечне нормативных правовых актов, регулирующих деятельность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текущих процентных ставках, применяемых в ломбарде;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эффективной процентной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правах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Ломбард в ходе осуществления своей деятельности обязан руководствоваться требованиями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xyfkshwupa4rbcwt5t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0oe3awima-2nz6cih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Оценка имущества, передаваемого в заклад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имущества, передаваемого в заклад, производится ломбардом по соглашению сторон в соответствии с ценами на имущество такого рода и качества, устанавливаемыми в торговле в момент и месте его принятия в заклад.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Страхование имущества, принятого ломбардом в заклад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обязан застраховать заложенное имущество в полной стоимости в пользу заемщика за свой счет, по ценам на имущество такого рода и качества, используемым в торговле и определяемым при принятии в заклад.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не вправе принудительно страховать заложенное имущество за счет заемщика.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предоставления займа в ломбардах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Договор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заключении договора займа осуществляется выдача ломбардом заемщику залогового билета и при предоставлении каждого займа ломбард выдает новый залоговый билет.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условиям договора займа ломбард предоставляет заемщику краткосрочный займ на определенный срок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заключении договора займа ломбард передает на возвратной и возмездной основе на срок не более одного года заемщику денежные средства. Заемщик передает ломбарду имущество, являющееся предметом заклада.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займа составляется в письменной форме и подписывается сторонами. Договор займа считается заключенным с момента передачи заемщику суммы займа и передачи ломбарду закладываемого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займа заключается в нотариальной форме, если его сумма превышает не менее чем в пятьсот раз расчетный показатель.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Существенными условиями договора займа являются наименование заложенного имущества, сумма его оценки, произведенной в соответствии со </w:t>
      </w:r>
      <w:hyperlink w:history="1" r:id="rIdts6og3r9dqtnbk4db4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сумма предоставленного займа, процентная ставка займа и срок его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ypwjspkoh2mmmsm0ta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Конфиденциальность документов по займу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гарантирует тайну сведений, полученных от заемщика в процессе заключения договора займа, разглашение которых может причинить заемщику материальный и (или) моральный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не имеет права передавать в кредитное бюро какие-либо сведения по договору займа и о заемщике, за исключением сведений по договору займа, в котором сумма займа превышает размер, определенный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и его работники обязаны соблюдать тайну сведений, указанных в части 1 настоящей статьи, и в случае их разглашения несут ответственность в соответствии со </w:t>
      </w:r>
      <w:hyperlink w:history="1" r:id="rId3ua1sdohnxwr9gjoxi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представляет документы по займу или сведения, содержащиеся в них, следующим органам и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соответствующим государственным органам, исходя из необходимости осуществления полномочий по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судебным и правоохранительным органам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лицам, уполномоченным заемщиком и нотариальной конторой по вопросам наследства.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Указанные в части 3 настоящей статьи органы и лица гарантируют тайну предоставленных им сведений.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p1i_beol-xzsjq7xrn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оформления залогового билета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Залоговый билет оформляется в двух экземплярах. На каждом экземпляре залогового билета ставятся порядковый номер и печать ломбарда. Один экземпляр залогового билета хранится в ломбарде, другой экземпляр выдается заемщику.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Залоговый билет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 адрес (место нахождения)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заемщика, дата его рождения, гражданство, данные паспорта или иного документа, удостоверяющего личность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и описание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оценки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сумма предоставленного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и срок предоставления займа с указанием даты его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процентная ставка по займу (с обязательным указанием процентной ставки по займу, исчисляемой из расчета на один календарный день).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Залоговый билет может содержать также иную дополнительную информацию, предусмотренную настоящим Законом и нормативными правовыми актами Кыргызской Республики, регулирующими деятельность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Залоговый билет оформляется в соответствии с требованиями, предусмотренными частью 2 настоящей статьи, и каждый экземпляр залогового билета заверяется подписями представителей ломбарда и заемщика, печатью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залогового билета, порядок его формирования и выдачи заемщику устанавливаются Кабинетом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iqxziloqvviqennb0g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Принудительное изъятие заложенного имущества, взыскание долга на невостребованное имущество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Принудительное изъятие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Принудительное изъятие заложенного имущества осуществляется только по основаниям, предусмотренным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принудительного изъятия заложенного имущества действие договора займа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в течение трех рабочих дней со дня принудительного изъятия заложенного имущества обязан уведомить в письменной форме об этом заемщика. Указанное уведомление направляется по почте заказным письмом с описью вложения и уведомлением о вручении и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принудительного изъятия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основание принудительного изъятия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государственных органов (с указанием должностного лица), осуществивших принудительное изъятие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получения заемщиком уведомления, предусмотренного частью 3 настоящей статьи, у него возникает обязательство перед ломбардом в соответствии с условиями договора займа на день принудительного изъятия либо выемки заложенного имущества или на день истечения льготного срока, установленного </w:t>
      </w:r>
      <w:hyperlink w:history="1" r:id="rIdeo-6e3oqr1ofz9hrvtd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неисполнения или ненадлежащего исполнения ломбардом обязательств, возложенных на него в соответствии с требованиями части 3 настоящей статьи, ломбард лишается права на удовлетворение своего требования к заемщику.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принудительно изъятое имущество подлежит возврату, возврат такого имущества должен быть произведен его собственнику после выполнения заемщиком своих обязательств перед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или ненадлежащего исполнения заемщиком обязательства взыскания долга на заложенное имущество требования ломбарда осуществляются в судебном или внесудебном порядке в соответствии с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Льготный срок по договору займа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заем не был погашен заемщиком в установленный срок, ломбард не вправе обратить взыскание на заложенное имущество в течение льготного срока, который равен одному месяцу.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Днем начала льготного срока считается день, следующий за днем возврата займа, указанного в залоговом билете.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льготного срока и далее вплоть до дня реализации заложенного имущества ломбард не вправе увеличивать процентную ставку по займу, предусмотренную договором займа, ухудшать условия хранения заложенного имущества, а также взимать вознаграждение за его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p-40d73xbptcs_vz8w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Взыскание долга на невостребованное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истечении льготного срока, установленного </w:t>
      </w:r>
      <w:hyperlink w:history="1" r:id="rIdzjtnn8qchpexpzjhxst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случае если заемщик не исполнил обязательство, предусмотренное договором займа перед ломбардом, заложенное имущество считается невостребованным.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вправе возместить взыскание предоставленного долга за счет невостребованного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Взыскание долга за счет невостребованного имущества осуществляется на основании исполнительной надписи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 в любое время до продажи невостребованного имущества вправе прекратить взыскание долга, исполнив свои обязательства перед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Реализация невостребованного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невостребованного имущества заемщика осуществляется в соответствии с условиями договора займа на дань продажи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невостребованного имущества, на которое обращено взыскание, осуществляется путем его продажи, в том числе с публичных торгов. Публичные торги по продаже невостребованного имущества проводятся в форме открытого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продажи невостребованного имущества требования ломбарда к заемщику считаются удовлетворенными независимо от недостаточности суммы реализованного невостребованного имущества для погашения долга.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за несоблюдение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за несоблюдение требований настоящего Закона и нормативных правовых актов, регулирующих деятельность ломбардов,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vre__bj30albtgrcfz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ngc2fbgg73zbl54r7_n" Type="http://schemas.openxmlformats.org/officeDocument/2006/relationships/hyperlink" Target="http://kodeks.duckdns.org/document/111821" TargetMode="External"/><Relationship Id="rId5selwyjz-ayuhcmtvgiid" Type="http://schemas.openxmlformats.org/officeDocument/2006/relationships/hyperlink" Target="http://kodeks.duckdns.org/document/111849" TargetMode="External"/><Relationship Id="rIdh-fbug_p9nmpuxuoxu95v" Type="http://schemas.openxmlformats.org/officeDocument/2006/relationships/hyperlink" Target="http://kodeks.duckdns.org/document/112552" TargetMode="External"/><Relationship Id="rIdcwzpegrqc0kevqjazzfjm" Type="http://schemas.openxmlformats.org/officeDocument/2006/relationships/hyperlink" Target="http://kodeks.duckdns.org/document/230008187" TargetMode="External"/><Relationship Id="rIdnj26ychj0nbf3loxulf30" Type="http://schemas.openxmlformats.org/officeDocument/2006/relationships/hyperlink" Target="http://kodeks.duckdns.org/document/202913" TargetMode="External"/><Relationship Id="rIdsdbzxclszetfoeviqmpzf" Type="http://schemas.openxmlformats.org/officeDocument/2006/relationships/hyperlink" Target="http://kodeks.duckdns.org/document/112552" TargetMode="External"/><Relationship Id="rIdkulgykxse0gpoaxtu-gqv" Type="http://schemas.openxmlformats.org/officeDocument/2006/relationships/hyperlink" Target="http://kodeks.duckdns.org/document/4" TargetMode="External"/><Relationship Id="rIdlraz9qwswenz432r5eze3" Type="http://schemas.openxmlformats.org/officeDocument/2006/relationships/hyperlink" Target="http://kodeks.duckdns.org/document/111366#st_12" TargetMode="External"/><Relationship Id="rIdsxyfkshwupa4rbcwt5tce" Type="http://schemas.openxmlformats.org/officeDocument/2006/relationships/hyperlink" Target="http://kodeks.duckdns.org/document/111821" TargetMode="External"/><Relationship Id="rId8b0oe3awima-2nz6cihn_" Type="http://schemas.openxmlformats.org/officeDocument/2006/relationships/hyperlink" Target="http://kodeks.duckdns.org/document/112552" TargetMode="External"/><Relationship Id="rIdts6og3r9dqtnbk4db4fvb" Type="http://schemas.openxmlformats.org/officeDocument/2006/relationships/hyperlink" Target="http://kodeks.duckdns.org/document/111366#st_5" TargetMode="External"/><Relationship Id="rIdmypwjspkoh2mmmsm0taiz" Type="http://schemas.openxmlformats.org/officeDocument/2006/relationships/hyperlink" Target="http://kodeks.duckdns.org/document/230008187" TargetMode="External"/><Relationship Id="rId3ua1sdohnxwr9gjoxikvv" Type="http://schemas.openxmlformats.org/officeDocument/2006/relationships/hyperlink" Target="http://kodeks.duckdns.org/document/111366#st_14" TargetMode="External"/><Relationship Id="rIdvp1i_beol-xzsjq7xrnkr" Type="http://schemas.openxmlformats.org/officeDocument/2006/relationships/hyperlink" Target="http://kodeks.duckdns.org/document/230008187" TargetMode="External"/><Relationship Id="rIdyiqxziloqvviqennb0ggh" Type="http://schemas.openxmlformats.org/officeDocument/2006/relationships/hyperlink" Target="http://kodeks.duckdns.org/document/112552" TargetMode="External"/><Relationship Id="rIdeo-6e3oqr1ofz9hrvtd7u" Type="http://schemas.openxmlformats.org/officeDocument/2006/relationships/hyperlink" Target="http://kodeks.duckdns.org/document/111366#st_11" TargetMode="External"/><Relationship Id="rIdip-40d73xbptcs_vz8wyp" Type="http://schemas.openxmlformats.org/officeDocument/2006/relationships/hyperlink" Target="http://kodeks.duckdns.org/document/111849" TargetMode="External"/><Relationship Id="rIdzjtnn8qchpexpzjhxstrx" Type="http://schemas.openxmlformats.org/officeDocument/2006/relationships/hyperlink" Target="http://kodeks.duckdns.org/document/111366#st_11" TargetMode="External"/><Relationship Id="rIdmvre__bj30albtgrcfzay" Type="http://schemas.openxmlformats.org/officeDocument/2006/relationships/hyperlink" Target="http://kodeks.duckdns.org/document/11255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2026-09-22T23:45:55.651Z</dcterms:created>
  <dcterms:modified xsi:type="dcterms:W3CDTF">2026-09-22T23:45:55.651Z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