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ygz4nizoyrya-zk0yzue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2017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недрах")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ccrwzit0qgfnw1nnbu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2018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wlu1skmarnhfz2ozzv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k3noalv1r1owfq9ve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pjiwhoa5hxdmbjrfc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256</w:t>
        </w:r>
      </w:hyperlink>
      <w:r>
        <w:rPr>
          <w:rFonts w:ascii="Arial" w:cs="Arial" w:eastAsia="Arial" w:hAnsi="Arial"/>
          <w:sz w:val="24"/>
          <w:szCs w:val="24"/>
        </w:rPr>
        <w:t xml:space="preserve">. Поставка и экспорт металлосодержащих руд, концентратов, сплавов и аффинированных металлов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экспорт металлосодержащих руд, концентратов, сплавов и аффинированных металлов являются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xp6wtcyjvfgvhy-m3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er-uwg67dmwjqpbf68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</w:hyperlink>
      <w:r>
        <w:rPr>
          <w:rFonts w:ascii="Arial" w:cs="Arial" w:eastAsia="Arial" w:hAnsi="Arial"/>
          <w:sz w:val="24"/>
          <w:szCs w:val="24"/>
        </w:rPr>
        <w:t xml:space="preserve">. Экспорт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Экспорт товаров, за исключением экспорта металлосодержащих руд, концентратов, сплавов и аффинированных металлов, является поставкой с нулевой ставкой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экспорте товаров в государства-члены Евразийского экономического союза, а также при выполнении работ по переработке давальческого сырья налогоплательщик НДС обязан представить в налоговый орган одновременно с налоговой отчетностью по НДС документы в соответствии с перечнем, утвержденным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k6klnkvby7rn7won2d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5z0biwrv5c3pdry4kl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bh-dwh5j5_pnvqqzr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etrhjzr8aaol4u8qwb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302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Объектом налогообложения бонусом является право пользования недрами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месторождения полезного ископаемого, в том числе отбора (извлечения из недр) подземных вод;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разведки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поиска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сбора минералогических, палеонтологических коллекций для коммерческих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сбора каменного материала для декоративных целей и использования в качестве поделочных камней и строительных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налогообложения бонусом также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переход права пользования недрами к другому лицу в результате обращения взыскания на залог;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права пользования недрами другому лицу в порядке, предусмотренном законодательством Кыргызской Республики о недрах, за исключением случаев передачи права пользования недрами в результате наследования, реорганизации юридического лица, не повлекшей изменения состава участников (акционеров) и/или долей (акций)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доли (акций) собственности в уставном капитале юридического лица, обладающего правом пользования недрами, за исключением юридических лиц, прошедших листинг в фондовых биржах, и перехода долей собственности в результате универсального правопреемства, предусмотренного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последующее увеличение количества запасов полезных ископаемых, имеющихся в момент предоставления права пользования недрами, в результате проведения дополнительной разведки, пересчета запасов или вследствие иных причин;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размера участка недр, предоставленного пользователю недр;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права пользования на новые полезные ископаемые, не заявленные в момент первичного получения права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указанные в настоящей части, распространяются на виды прав пользования недрами, указанные в части 1 настоящей статьи.</w:t>
      </w:r>
    </w:p>
    <w:p>
      <w:pPr>
        <w:spacing w:after="120"/>
        <w:ind w:firstLine="397"/>
        <w:jc w:val="both"/>
      </w:pPr>
      <w:hyperlink w:history="1" r:id="rIdleuoj5s_wdmlhpuxewx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303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Налоговой базой для исчисления бонуса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разработке месторождения полезного ископаемого (за исключением отбора подземных вод) - количество запасов полезных ископаемых, учтенных Государственным балансом запасов полезных ископаемых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отборе подземных вод - заявленный объем воды, подлежащей отбору;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разведке и поиске полезных ископаемых -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сборе минералогических,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 -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переходе, передаче прав пользования недрами - количество запасов полезных ископаемых, оставшихся неотработанными на указанный момент согласно отчетам недропользователя (по правам на разработку), или размер лицензионной площади;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изменении доли собственности в уставном капитале правообладателя - количество запасов полезных ископаемых, оставшихся неотработанными на указанный момент согласно отчетам недропользователя (по правам на разработку), или размер лицензионной площади, пропорционально изменению данной доли;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увеличении количества запасов полезного ископаемого - количество увеличенных запасов полезного ископаемого, учтенное Государственной комиссией по запасам полезных ископаемых Кыргызской Республики.</w:t>
      </w:r>
    </w:p>
    <w:p>
      <w:pPr>
        <w:spacing w:after="120"/>
        <w:ind w:firstLine="397"/>
        <w:jc w:val="both"/>
      </w:pPr>
      <w:hyperlink w:history="1" r:id="rIdbeabfz8k8_oza9h_as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304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Ставка бонуса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бонуса устанавливается Правительством Кыргызской Республики по видам полезных ископаемых по классификационной таблице в зависимости от количества запасов полезных ископаемых для разработки, а также размера лицензионной площади для поисков и разведки полезных ископаемых и сбора минералогических, палеонтологических коллекций для коммерческих целей и каменного материала для декоративных целей и использования в качестве поделочных камней и строительных материалов.";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zccbevqkuoswili5o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shin1qag14derkrhv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306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представления налоговой отчетности и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предусмотренных частью 1 статьи 302 настоящего Кодекса, налогоплательщик бонуса представляет в налоговый орган соответствующий расчет, согласованный с уполномоченным государственным органом по реализации государственной политики по недропользованию и уплачивает бонус по месту учетной регистрации не позднее 30 дней со дня выдачи документа, подтверждающего право пользования недрами.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случаях, предусмотренных частью 2 статьи 302 настоящего Кодекса, налогоплательщик бонуса представляет в налоговый орган соответствующий расчет, согласованный с уполномоченным государственным органом по реализации государственной политики по недропользованию, и уплачивает бонус по месту учетной регистрации не позднее последнего дня месяца, следующего за месяцем, в котором: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государственным органом по реализации государственной политики по недропользованию принято решение о переходе права пользования недрами в результате обращения взыскания на залог или передаче такого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произведена регистрация изменения доли собственности в уставном капитале юридического лица - недропользователя;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Государственной комиссией по запасам полезных ископаемых Кыргызской Республики учтено увеличение запасов полезного ископаемого;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по реализации государственной политики по недропользованию принято решение об увеличении размера лицензионной площади или о предоставлении права пользования недрами на новые, ранее не заявленные виды полезных ископаемых.".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</w:t>
      </w:r>
      <w:hyperlink w:history="1" r:id="rId_uges8zqeywidqxsswc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мая 2018 года № 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pxas7knvhct_kqpwv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dalil.kg/document/111569</w:t>
      </w:r>
    </w:hyperlink>
  </w:p>
  <w:p>
    <w:pPr>
      <w:spacing w:after="0" w:before="40"/>
      <w:jc w:val="center"/>
    </w:pPr>
    <w:hyperlink w:history="1" r:id="rIdby0a6g4bejocaoiwk21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z4nizoyrya-zk0yzueg" Type="http://schemas.openxmlformats.org/officeDocument/2006/relationships/hyperlink" Target="https://dalil.kg/document/112342" TargetMode="External"/><Relationship Id="rIdmccrwzit0qgfnw1nnbu43" Type="http://schemas.openxmlformats.org/officeDocument/2006/relationships/hyperlink" Target="https://dalil.kg/document/111782" TargetMode="External"/><Relationship Id="rIdwlu1skmarnhfz2ozzvzdf" Type="http://schemas.openxmlformats.org/officeDocument/2006/relationships/hyperlink" Target="https://dalil.kg/document/202445" TargetMode="External"/><Relationship Id="rId2k3noalv1r1owfq9veh48" Type="http://schemas.openxmlformats.org/officeDocument/2006/relationships/hyperlink" Target="https://dalil.kg/document/202445#st_256" TargetMode="External"/><Relationship Id="rIddpjiwhoa5hxdmbjrfczuc" Type="http://schemas.openxmlformats.org/officeDocument/2006/relationships/hyperlink" Target="https://dalil.kg/document/202445#st_256" TargetMode="External"/><Relationship Id="rIdvxp6wtcyjvfgvhy-m30da" Type="http://schemas.openxmlformats.org/officeDocument/2006/relationships/hyperlink" Target="https://dalil.kg/document/202445#st_261" TargetMode="External"/><Relationship Id="rIdcer-uwg67dmwjqpbf68af" Type="http://schemas.openxmlformats.org/officeDocument/2006/relationships/hyperlink" Target="https://dalil.kg/document/202445#st_261" TargetMode="External"/><Relationship Id="rIdk6klnkvby7rn7won2djns" Type="http://schemas.openxmlformats.org/officeDocument/2006/relationships/hyperlink" Target="https://dalil.kg/document/202445#st_301" TargetMode="External"/><Relationship Id="rId5z0biwrv5c3pdry4klmlh" Type="http://schemas.openxmlformats.org/officeDocument/2006/relationships/hyperlink" Target="https://dalil.kg/document/202445#st_302" TargetMode="External"/><Relationship Id="rIdbbh-dwh5j5_pnvqqzrwo0" Type="http://schemas.openxmlformats.org/officeDocument/2006/relationships/hyperlink" Target="https://dalil.kg/document/202445#st_304" TargetMode="External"/><Relationship Id="rIdketrhjzr8aaol4u8qwb_s" Type="http://schemas.openxmlformats.org/officeDocument/2006/relationships/hyperlink" Target="https://dalil.kg/document/202445#st_302" TargetMode="External"/><Relationship Id="rIdleuoj5s_wdmlhpuxewxmc" Type="http://schemas.openxmlformats.org/officeDocument/2006/relationships/hyperlink" Target="https://dalil.kg/document/202445#st_303" TargetMode="External"/><Relationship Id="rIdbeabfz8k8_oza9h_asdl-" Type="http://schemas.openxmlformats.org/officeDocument/2006/relationships/hyperlink" Target="https://dalil.kg/document/202445#st_304" TargetMode="External"/><Relationship Id="rIdhzccbevqkuoswili5odfj" Type="http://schemas.openxmlformats.org/officeDocument/2006/relationships/hyperlink" Target="https://dalil.kg/document/202445#st_306" TargetMode="External"/><Relationship Id="rIdsshin1qag14derkrhvamy" Type="http://schemas.openxmlformats.org/officeDocument/2006/relationships/hyperlink" Target="https://dalil.kg/document/202445#st_306" TargetMode="External"/><Relationship Id="rId_uges8zqeywidqxsswcz8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pxas7knvhct_kqpwvkm" Type="http://schemas.openxmlformats.org/officeDocument/2006/relationships/hyperlink" Target="https://dalil.kg/document/111569" TargetMode="External"/><Relationship Id="rIdby0a6g4bejocaoiwk21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2026-09-24T02:34:27.471Z</dcterms:created>
  <dcterms:modified xsi:type="dcterms:W3CDTF">2026-09-24T02:34:27.471Z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