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2017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устойчивом развитии эколого-экономической системы "Иссык-Куль"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rtp8oh8hi26fcklecj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aqhjcx4_d3gqlb0whc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Парково-пляжная зона</w:t>
      </w:r>
      <w:r>
        <w:rPr>
          <w:rFonts w:ascii="Arial" w:cs="Arial" w:eastAsia="Arial" w:hAnsi="Arial"/>
          <w:sz w:val="24"/>
          <w:szCs w:val="24"/>
        </w:rPr>
        <w:t xml:space="preserve"> - территория общего пользования шириной до 100 метров от уреза воды озера Иссык-Куль.";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oaqaqtrrn6o5yeauo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"Земельные участки парково-пляжной зоны могут предоставляться на условиях аренды курортно-рекреационным учреждениям, как правило, непосредственно примыкающим к парково-пляжной зоне или тем курортно-рекреационным учреждениям, которые по сравнению с другими наиболее приближены к парково-пляжной зоне.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предоставления парково-пляжной зоны, а также предельные площади парково-пляжных зон, допустимых передаче в аренду одному и тому же субъекту, устанавливаются Правительством Кыргызской Республики в соответствии с земельным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Парково-пляжная зона, предоставленная в установленном порядке в пользование на условиях аренды, может быть ограждена арендатором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порядка, безопасности отдыхающих, сохранности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загрязнения парково-пляжной зоны животными;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заезда транспортных средств и использования другой техники, кроме случаев проведения по решению арендатора или уполномоченных государственных органов работ по благоустройству и приведения в порядок территории парково-пляжной зоны.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ограждениям парково-пляжной зоны устанавливаются Правительством Кыргызской Республики с учетом положений части второй статьи 17 настоящего Закона об обеспечении беспрепятственного доступа граждан в парково-пляжную зону. Несоблюдение данного требования влечет расторжение договора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и порядок ее внесения за пользование земельным участком парково-пляжной зоны устанавливаются на основе договора. При этом взимается дополнительная плата за использование ограждений парково-пляжной зоны в размере арендной платы за использование соответствующего участка парково-пляжной зоны.".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2017 года № 76 (2801)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qulx0lniy8mcyqsup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dalil.kg/document/111618</w:t>
      </w:r>
    </w:hyperlink>
  </w:p>
  <w:p>
    <w:pPr>
      <w:spacing w:after="0" w:before="40"/>
      <w:jc w:val="center"/>
    </w:pPr>
    <w:hyperlink w:history="1" r:id="rId1rlxtxoc_tnjnaoeffy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tp8oh8hi26fcklecjfn" Type="http://schemas.openxmlformats.org/officeDocument/2006/relationships/hyperlink" Target="https://dalil.kg/document/1514" TargetMode="External"/><Relationship Id="rIduaqhjcx4_d3gqlb0whc5c" Type="http://schemas.openxmlformats.org/officeDocument/2006/relationships/hyperlink" Target="https://dalil.kg/document/1514#st_1" TargetMode="External"/><Relationship Id="rId3oaqaqtrrn6o5yeauo8fc" Type="http://schemas.openxmlformats.org/officeDocument/2006/relationships/hyperlink" Target="https://dalil.kg/document/1514#st_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qulx0lniy8mcyqsupru" Type="http://schemas.openxmlformats.org/officeDocument/2006/relationships/hyperlink" Target="https://dalil.kg/document/111618" TargetMode="External"/><Relationship Id="rId1rlxtxoc_tnjnaoeffy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2026-09-23T20:26:25.323Z</dcterms:created>
  <dcterms:modified xsi:type="dcterms:W3CDTF">2026-09-23T20:26:25.323Z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