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1h7z9kxmnn_higy7tnpg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3 марта 2023 года № 49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декабря 2017 года № 198 (3)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Уголовно-процессуальный кодекс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26 октября 2017 года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Уголовно-процессуальный</w:t>
      </w:r>
      <w:hyperlink w:history="1" r:id="rIdheg6xtc6rqgcmrimtx3g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(Ведомости Жогорку Кенеша Кыргызской Республики, 1999 г., № 10, ст.442)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2 </w:t>
      </w:r>
      <w:r>
        <w:rPr>
          <w:rFonts w:ascii="Arial" w:cs="Arial" w:eastAsia="Arial" w:hAnsi="Arial"/>
          <w:sz w:val="24"/>
          <w:szCs w:val="24"/>
        </w:rPr>
        <w:t xml:space="preserve">статьи 94</w:t>
      </w:r>
      <w:r>
        <w:rPr>
          <w:rFonts w:ascii="Arial" w:cs="Arial" w:eastAsia="Arial" w:hAnsi="Arial"/>
          <w:sz w:val="24"/>
          <w:szCs w:val="24"/>
        </w:rPr>
        <w:t xml:space="preserve"> слова "а также" исключить.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kmivwv-4xl5d5cb8coi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dalil.kg/document/111708</w:t>
      </w:r>
    </w:hyperlink>
  </w:p>
  <w:p>
    <w:pPr>
      <w:spacing w:after="0" w:before="40"/>
      <w:jc w:val="center"/>
    </w:pPr>
    <w:hyperlink w:history="1" r:id="rIdiu1wmt53cdkexurljwzv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h7z9kxmnn_higy7tnpg8" Type="http://schemas.openxmlformats.org/officeDocument/2006/relationships/hyperlink" Target="https://dalil.kg/document/112522" TargetMode="External"/><Relationship Id="rIdheg6xtc6rqgcmrimtx3go" Type="http://schemas.openxmlformats.org/officeDocument/2006/relationships/hyperlink" Target="https://dalil.kg/document/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kmivwv-4xl5d5cb8coil" Type="http://schemas.openxmlformats.org/officeDocument/2006/relationships/hyperlink" Target="https://dalil.kg/document/111708" TargetMode="External"/><Relationship Id="rIdiu1wmt53cdkexurljwzv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2026-09-23T20:26:42.862Z</dcterms:created>
  <dcterms:modified xsi:type="dcterms:W3CDTF">2026-09-23T20:26:42.862Z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