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4_ja1gzpem74plbao6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2018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местном самоуправлении"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r79_1uawvn9uetfd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61</w:t>
      </w:r>
      <w:r>
        <w:rPr>
          <w:rFonts w:ascii="Arial" w:cs="Arial" w:eastAsia="Arial" w:hAnsi="Arial"/>
          <w:sz w:val="24"/>
          <w:szCs w:val="24"/>
        </w:rPr>
        <w:t xml:space="preserve">. Финансово-экономические основы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Финансовую основу местного самоуправления составляют закрепленные законодательством Кыргызской Республики за местными бюджетами налоговые и неналоговые источники доходов, доходы от использования муниципальной собственности, ссуды и иные финансовые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Экономическую основу местного самоуправления составляют недвижимое и движимое муниципальное имущество, ценные бумаги, земли, переданные в ведение местному самоуправлению в установленном законодательством Кыргызской Республики порядке и используемые органами местного самоуправления в границах их территории для удовлетворения интересов и потребностей местного сообщества, иные объекты гражданских прав, а также предприятия, организации и учреждения, осуществляющие деятельность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и экономические отношения органов местного самоуправления с государственными органами, другими органами местного самоуправления, юридическими и физическими лицами,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62</w:t>
      </w:r>
      <w:r>
        <w:rPr>
          <w:rFonts w:ascii="Arial" w:cs="Arial" w:eastAsia="Arial" w:hAnsi="Arial"/>
          <w:sz w:val="24"/>
          <w:szCs w:val="24"/>
        </w:rPr>
        <w:t xml:space="preserve">. Права органов местного самоуправления на создание муниципальных предприятий и некоммерческих организаций, а также на участие в акционерных обществах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вопросов местного значения, а также стимулирования экономического развития в пределах своей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вправе делегировать определенные полномочия муниципальным предприятиям, некоммерческим организациям, а также акционерным обществам, более половины акций которых принадлежат органам местного самоуправления, кроме полномочий, которые согласно законодательству Кыргызской Республики относятся к исключительной компетенции государственных органов или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Муниципальные предприятия и некоммерческие организации создаются органами местного самоуправления для оказания услуг, предоставление которых является обязанностью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10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62-1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62-2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62-1</w:t>
      </w:r>
      <w:r>
        <w:rPr>
          <w:rFonts w:ascii="Arial" w:cs="Arial" w:eastAsia="Arial" w:hAnsi="Arial"/>
          <w:sz w:val="24"/>
          <w:szCs w:val="24"/>
        </w:rPr>
        <w:t xml:space="preserve">. Муниципальный заказ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вправе осуществить муниципальный заказ на выполнение работ или оказание услуг, направленных на решение вопросов местного значения, и выполнение иных полномочий,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Муниципальный заказ может исполняться физическими и юридическими лицами. Передача исполнения муниципального заказа производится по договору. Передача муниципального имущества по договору о муниципальном заказе производится с согласия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услуги,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определенные полномочия муниципальным предприятиям, некоммерческим учреждениям, а также иным физическим и юридическим лицам при условии сохранения контроля органа местного самоуправления за тарифами.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 муниципального заказа определяется органами местного самоуправления в порядке, установленном законодательством о государственных закупках либо о государственном социальном заказе.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62-2</w:t>
      </w:r>
      <w:r>
        <w:rPr>
          <w:rFonts w:ascii="Arial" w:cs="Arial" w:eastAsia="Arial" w:hAnsi="Arial"/>
          <w:sz w:val="24"/>
          <w:szCs w:val="24"/>
        </w:rPr>
        <w:t xml:space="preserve">. Сотрудничество органа местного самоуправления с государственными органами, другими органами местного самоуправления и иными органами территориального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полномочия, бюджетные средства и иное муниципальное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Сотрудничество органа местного самоуправления с государственными органами и другими органами местного самоуправления может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договора о предоставлении услуг одним органом местного самоуправления или государственного органа другому органу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совместных финансовых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совместных предприятий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формы, не запрещенные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сотрудничать с органами территориального самоуправления в порядке, установленном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формы сотрудничества, а также передача полномочий, бюджетных средств и муниципального имущества, указанные выше, могут быть осуществлены при условии одобрения со стороны соответствующего местного кенеша.".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ilml42-cat0kjrnlv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dalil.kg/document/111749</w:t>
      </w:r>
    </w:hyperlink>
  </w:p>
  <w:p>
    <w:pPr>
      <w:spacing w:after="0" w:before="40"/>
      <w:jc w:val="center"/>
    </w:pPr>
    <w:hyperlink w:history="1" r:id="rIdu4ucjs72wstqlbwp6xr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_ja1gzpem74plbao6ej" Type="http://schemas.openxmlformats.org/officeDocument/2006/relationships/hyperlink" Target="https://dalil.kg/document/112302" TargetMode="External"/><Relationship Id="rIdbor79_1uawvn9uetfdvx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ilml42-cat0kjrnlvit" Type="http://schemas.openxmlformats.org/officeDocument/2006/relationships/hyperlink" Target="https://dalil.kg/document/111749" TargetMode="External"/><Relationship Id="rIdu4ucjs72wstqlbwp6xr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2026-09-24T23:34:51.854Z</dcterms:created>
  <dcterms:modified xsi:type="dcterms:W3CDTF">2026-09-24T23:34:51.854Z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