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2018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государственном пенсионном социальном страховании"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 марта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j3w0vlsxxvxv-dubxo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(Ведомости Жогорку Кенеша Кыргызской Республики, 1997 г., № 8, ст.392)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Исчисление страхового стажа, необходимого для назначения пенсии, производится в календарном периоде по всем основаниям, предусмотренным в пунктах 1 и 2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Периоды страхового стажа, предусмотренные в пунктах 1 и 2 настоящей статьи и приобретенные до введения персонифицированного (индивидуального) учета граждан Кыргызской Республики для целей обязательного государственного социального страхования, подсчитываются на основании документов, выдаваемых в установленном порядке работодателями или компетентными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Периоды страхового стажа, предусмотренные в пунктах 1 и 2 настоящей статьи и приобретенные после введения персонифицированного (индивидуального) учета граждан Кыргызской Республики для целей обязательного государственного социального страхования, подсчитываются на основании личных страховых 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документом, подтверждающим страховой стаж работы до введения персонифицированного учета, является трудовая книжка.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неточностей в записях трудовой книжки до введения персонифицированного учета Социальный фонд и его территориальные органы обязаны запрашивать у работодателей и в компетентных органах информацию уточняющего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числу неточностей в записях трудовой книжки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расхождения в написании фамилии, имени, отчества (при наличии такового) и дате рождения в трудовой книжке и паспорте;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трудовой книжке печати (штампа) работодателя и подписи ответственного лица, даты приема и увольнения;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наименования организации работодателя в записи трудовой книжки и удостоверяющей ее печати (штампе) организации работодателя;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записях трудовой книжки наименования должности, которую занимал заявитель.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в трудовой книжке записей о некоторых периодах трудовой деятельности до введения персонифицированного учета для исчисления страхового стажа от застрахованного лица принимаются архивные справки или документы, подтверждающие страховой стаж от страхователей или компетентных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трудовая деятельность осуществлялась на основании трудового договора, контракта или иных соглашений с работодателем, в страховой стаж засчитывается весь период такой деятельности при условии уплаты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сведений на личных страховых счетах после введения персонифицированного учета за отдельные периоды трудовой деятельности Социальный фонд запрашивает у работодателей и в компетентных органах сведения об уплате страховых взносов с последующим внесением в личные страховые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подтверждения страхового стажа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23</w:t>
      </w:r>
      <w:r>
        <w:rPr>
          <w:rFonts w:ascii="Arial" w:cs="Arial" w:eastAsia="Arial" w:hAnsi="Arial"/>
          <w:sz w:val="24"/>
          <w:szCs w:val="24"/>
        </w:rPr>
        <w:t xml:space="preserve"> дополнить частью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"Обязанность по предоставлению сведений, указанных в настоящей статье, возлагается на заявителя, которому назначается пенсия,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статью 25-1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Застрахованное лицо имеет право за 6 месяцев до наступления пенсионного возраста предоставить на рассмотрение в территориальные органы Социального фонда документы, необходимые для назначения пенсии по возрасту, в том числе на льготных условиях.";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25-2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25-2</w:t>
      </w:r>
      <w:r>
        <w:rPr>
          <w:rFonts w:ascii="Arial" w:cs="Arial" w:eastAsia="Arial" w:hAnsi="Arial"/>
          <w:sz w:val="24"/>
          <w:szCs w:val="24"/>
        </w:rPr>
        <w:t xml:space="preserve">. Предоставление сведений о назначенной пенсии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течение месяца после назначения пенсии Социальный фонд предоставляет получателю пенсии протокол о назначении пенсии для ознакомления с произведенными расчетами размера пенсии, зачтенными периодами страхового стажа и принятой к учету среднемесячной заработной платой.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размером пенсии получатель пенсии имеет право обратиться в комиссию Социального фонда по оценке документов для назначения пенсии или в судебные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Одновременно с этим в течение месяца получатель пенсии вправе ознакомиться с производимым расчетом (перерасчетом) пенсии в электронном личном кабинете, размещенном на сайте Социального фонда.".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2019 года, за исключением абзаца пятого пункта 4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, который вступает в силу с 1 июля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x99zkx7vlb7trvfdx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dalil.kg/document/111775</w:t>
      </w:r>
    </w:hyperlink>
  </w:p>
  <w:p>
    <w:pPr>
      <w:spacing w:after="0" w:before="40"/>
      <w:jc w:val="center"/>
    </w:pPr>
    <w:hyperlink w:history="1" r:id="rIdgwvj5qa7gmgews8znhb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3w0vlsxxvxv-dubxoiz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x99zkx7vlb7trvfdxki" Type="http://schemas.openxmlformats.org/officeDocument/2006/relationships/hyperlink" Target="https://dalil.kg/document/111775" TargetMode="External"/><Relationship Id="rIdgwvj5qa7gmgews8znhb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2026-09-24T16:33:38.687Z</dcterms:created>
  <dcterms:modified xsi:type="dcterms:W3CDTF">2026-09-24T16:33:38.687Z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