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2018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Гражданский кодекс Кыргызской Республики, Закон Кыргызской Республики "О залоге")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 24 мая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</w:t>
      </w:r>
      <w:hyperlink w:history="1" r:id="rIdy5vsg8wmhb9f1k3kxp-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</w:t>
      </w:r>
      <w:hyperlink w:history="1" r:id="rId9-onyvpt5qw2hrh5dzl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Кредитор, уступивший требование другому лицу, обязан передать ему документы, удостоверяющие право требования, и сообщить сведения, имеющие значение для осуществления требования, за исключением случаев индоссамента по ордерной ценной бумаге.".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II Гражданского </w:t>
      </w:r>
      <w:hyperlink w:history="1" r:id="rIdbm8uxjb8qqpd6burjkh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6, ст.226)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rdiultukrnimieljaef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906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Двойное складское свидетельство, каждая из двух его частей и простое складское свидетельство являются ценными бумагами. Двойное и простое складские свидетельства предоставляются товарным складом в случае, предусмотренном законодательством в сфере регулирования товарных складов и складских свидетельств.";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phch9qn57bhnwbvv2wa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Товарный склад, не вошедший в единый государственный реестр товарных складов в соответствии с законодательством в сфере регулирования товарных складов и складских свидетельств, имеет право выдавать только складскую квитанцию.";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Двойное складское свидетельство может быть предметом залога.";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</w:t>
      </w:r>
      <w:hyperlink w:history="1" r:id="rIdiwxe8bi6f8fptcqcqel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идентификационный номер налогоплательщика (ИНН), наименование и адрес товарного склада, принявшего товар на хранение;";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наименование, местонахождение, идентификационный номер налогоплательщика (ИНН) - юридического лица либо фамилия, имя, отчество (при наличии), место жительства, персональный идентификационный номер налогоплательщика (ПИН) - физического лица, от которых принят товар на хранение;";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подпункт 4 после слова "наименование" дополнить словами ", сведения о качестве";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подпункт 7 после слов "дата выдачи" дополнить словами ", серия и номер бланка";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пункт дополнить подпунктами 7-1 - 7-4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"7-1) сведения о передаче прав (индоссаменте);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7-2) данные свидетельства о регистрации в едином государственном реестре товарных складов (регистрационный номер, дата выдачи);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7-3) информация об участии товарного склада в системе гарантирования исполнения обязательств товарного склада перед держателями складских свидетельств или отметка о наличии или отсутствии страхования гражданско-правовой ответственности товарного склада перед держателем складского свидетельства;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7-4) сведения о залоге товара и денежном обязательстве согласно законодательству в сфере регулирования товарных складов и складских свидетельств в случае, предусмотренном пунктом 3 </w:t>
      </w:r>
      <w:hyperlink w:history="1" r:id="rIdwxb-3d7wocrieivnllt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6vr6b4uziypklobmh9c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Держатель залогового свидетельства, иной, чем держатель складского свидетельства, имеет право залога на товар в размере денежного обязательства, обеспеченного залоговым свидетельством. При залоге товара об этом делается отметка на складском и залоговом свидетельстве.";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</w:t>
      </w:r>
      <w:hyperlink w:history="1" r:id="rIdeimex8yqsegplflwxgl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910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"Кодекса" дополнить словами "(за исключением подпункта 7-1)";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 </w:t>
      </w:r>
      <w:hyperlink w:history="1" r:id="rId1ec0yrkbqrlbzmsyxrx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Держателю складского свидетельства, который не имеет залогового свидетельства, но внес сумму долга по нему либо достиг соглашения с залогодержателем о замене предмета залога или о частичном высвобождении предмета залога, товар выдается складом не иначе как в обмен на складское свидетельство и при условии представления вместе с ним документов, подтверждающих освобождение предмета залога и уплату денежного обязательства по залоговому свидетельству.".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ppymkfo2eggtscubot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(Ведомости Жогорку Кенеша Кыргызской Республики, 2005 г., № 6, ст.377) следующее изменение:</w:t>
      </w:r>
    </w:p>
    <w:p>
      <w:pPr>
        <w:spacing w:after="120"/>
        <w:jc w:val="both"/>
      </w:pPr>
      <w:hyperlink w:history="1" r:id="rIddkt80_q0xbf3jbjulwo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ao6zbaoidzevnljhhix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_tpfvuf0nljg9rnd7iz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34-1</w:t>
        </w:r>
      </w:hyperlink>
      <w:r>
        <w:rPr>
          <w:rFonts w:ascii="Arial" w:cs="Arial" w:eastAsia="Arial" w:hAnsi="Arial"/>
          <w:sz w:val="24"/>
          <w:szCs w:val="24"/>
        </w:rPr>
        <w:t xml:space="preserve">. Залог товара, принятого на хранение с выдачей двойного складского свидетельства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Товар, принятый на хранение с выдачей двойного складского свидетельства, может быть в течение его хранения предметом залога путем залога соответствующей части двойного складского свидетельства.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 товара, принятого на хранение с выдачей двойного складского свидетельства, возникает с момента осуществления индоссамента (передаточной надписи) на обеих частях двойного складского свидетельства в порядке, предусмотренном законом о товарных складах и складских свидетельствах.".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rpcxez6varc4_ieh0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dalil.kg/document/111804</w:t>
      </w:r>
    </w:hyperlink>
  </w:p>
  <w:p>
    <w:pPr>
      <w:spacing w:after="0" w:before="40"/>
      <w:jc w:val="center"/>
    </w:pPr>
    <w:hyperlink w:history="1" r:id="rIdbq_abclf4xfe1syvuyx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5vsg8wmhb9f1k3kxp-yn" Type="http://schemas.openxmlformats.org/officeDocument/2006/relationships/hyperlink" Target="https://dalil.kg/document/4" TargetMode="External"/><Relationship Id="rId9-onyvpt5qw2hrh5dzlzj" Type="http://schemas.openxmlformats.org/officeDocument/2006/relationships/hyperlink" Target="https://dalil.kg/document/4#st_316" TargetMode="External"/><Relationship Id="rIdbm8uxjb8qqpd6burjkhu0" Type="http://schemas.openxmlformats.org/officeDocument/2006/relationships/hyperlink" Target="https://dalil.kg/document/5" TargetMode="External"/><Relationship Id="rIdrdiultukrnimieljaefdt" Type="http://schemas.openxmlformats.org/officeDocument/2006/relationships/hyperlink" Target="https://dalil.kg/document/5#st_906" TargetMode="External"/><Relationship Id="rIdphch9qn57bhnwbvv2wayc" Type="http://schemas.openxmlformats.org/officeDocument/2006/relationships/hyperlink" Target="https://dalil.kg/document/5#st_906" TargetMode="External"/><Relationship Id="rIdiwxe8bi6f8fptcqcqelcj" Type="http://schemas.openxmlformats.org/officeDocument/2006/relationships/hyperlink" Target="https://dalil.kg/document/5#st_907" TargetMode="External"/><Relationship Id="rIdwxb-3d7wocrieivnlltgs" Type="http://schemas.openxmlformats.org/officeDocument/2006/relationships/hyperlink" Target="https://dalil.kg/document/5#st_908" TargetMode="External"/><Relationship Id="rId6vr6b4uziypklobmh9c3n" Type="http://schemas.openxmlformats.org/officeDocument/2006/relationships/hyperlink" Target="https://dalil.kg/document/5#st_908" TargetMode="External"/><Relationship Id="rIdeimex8yqsegplflwxglbv" Type="http://schemas.openxmlformats.org/officeDocument/2006/relationships/hyperlink" Target="https://dalil.kg/document/5#st_910" TargetMode="External"/><Relationship Id="rId1ec0yrkbqrlbzmsyxrxvd" Type="http://schemas.openxmlformats.org/officeDocument/2006/relationships/hyperlink" Target="https://dalil.kg/document/5#st_911" TargetMode="External"/><Relationship Id="rIdpppymkfo2eggtscubot19" Type="http://schemas.openxmlformats.org/officeDocument/2006/relationships/hyperlink" Target="https://dalil.kg/document/1644" TargetMode="External"/><Relationship Id="rIddkt80_q0xbf3jbjulwocs" Type="http://schemas.openxmlformats.org/officeDocument/2006/relationships/hyperlink" Target="https://dalil.kg/document/1644" TargetMode="External"/><Relationship Id="rIdao6zbaoidzevnljhhixuz" Type="http://schemas.openxmlformats.org/officeDocument/2006/relationships/hyperlink" Target="https://dalil.kg/document/1644#st_34_1" TargetMode="External"/><Relationship Id="rId_tpfvuf0nljg9rnd7iz7x" Type="http://schemas.openxmlformats.org/officeDocument/2006/relationships/hyperlink" Target="https://dalil.kg/document/1644#st_34_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rpcxez6varc4_ieh0sk" Type="http://schemas.openxmlformats.org/officeDocument/2006/relationships/hyperlink" Target="https://dalil.kg/document/111804" TargetMode="External"/><Relationship Id="rIdbq_abclf4xfe1syvuyx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2026-09-24T07:44:36.146Z</dcterms:created>
  <dcterms:modified xsi:type="dcterms:W3CDTF">2026-09-24T07:44:36.146Z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