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февраля 2019 года № 29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Закон Кыргызской Республики "О дорожном движении в Кыргызской Республике", Кодекс Кыргызской Республики о нарушениях)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algebdfsjh-3ndx9hcg7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октября 2021 года № 126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                                                                                                            15 февраля 2019 года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iqdiib5pgvimawsj212l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дорожном движении в Кыргызской Республике" (Ведомости Жогорку Кенеша Кыргызской Республики, 1998 г., № 8, ст.248)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wqymqpg-y6xwc-slzrru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aom6fqqgfm2mdtx_u17a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статьей 23-1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b7aokn6-htf3fhx-_nqo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Статья 23-1</w:t>
        </w:r>
      </w:hyperlink>
      <w:r>
        <w:rPr>
          <w:rFonts w:ascii="Arial" w:cs="Arial" w:eastAsia="Arial" w:hAnsi="Arial"/>
          <w:sz w:val="24"/>
          <w:szCs w:val="24"/>
        </w:rPr>
        <w:t xml:space="preserve">. Права и обязанности собственников транспортных средств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Собственники транспортных средств имеют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на безвозмездной (бесплатной) основе информацию: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порядке государственной регистрации (перерегистрации) транспортных средств в Кыргызской Республике от уполномоченного органа в сфере регистрации транспортных средств и водительского состава;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наложенных на них взысканиях за нарушение требований безопасности дорожного движения от уполномоченного органа в сфере обеспечения безопасности дорожного движения;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выбрать цифровое и (или) буквенное обозначение государственного регистрационного номерного знака транспортного средства в порядке, определяемом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Собственники транспортных средств обязаны: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зарегистрировать (перерегистрировать) транспортные средства в уполномоченном органе в сфере регистрации транспортных средств и водительского состава в случаях, указанных в статьях </w:t>
      </w:r>
      <w:hyperlink w:history="1" r:id="rIdk9seoixi6vuu-mqvqd3w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vjy5xnpg5fjfyvzsk2lw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24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обратиться в уполномоченный орган в сфере регистрации транспортных средств и водительского состава для прекращения государственной регистрации транспортного средства в связи с его утилизацией или утратой либо перед вывозом транспортного средства за пределы Кыргызской Республики на постоянное пребывание;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предоставить транспортное средство в уполномоченные государственные органы в случаях, когда его обязательное предоставление предусмотрено правилами государственной регистрации и учета отдельных видов транспортных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уплатить суммы штрафов при наличии своевременно неисполненных постановлений о наложении взыскания в виде штрафа за нарушения в сфере обеспечения безопасности дорожного движения, зафиксированные сертифицированными специальными контрольно-измерительными техническими средствами, имеющими функции фото- и видеозаписи.";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9wdi6cg3osnzlgmfeqkz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статью 24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4-1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"4-1. Регистрация транспортных средств и изменение регистрационных данных запрещаются 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отсутствия признанных государственной системой технического регулирования Кыргызской Республики сертификатов соответствия для новых транспортных средств, выданных в соответствии с требованиями вступивших в установленном законом порядке в силу международных договоров, участницей которых является Кыргызская Республика;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представления на перерегистрацию транспортных средств, зарегистрированных на территории Кыргызской Республики, своевременно не прошедших обязательный технический осмотр в соответствии со </w:t>
      </w:r>
      <w:hyperlink w:history="1" r:id="rIdalyx6bpek43tf0ciqvgy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статьей 16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отсутствия регистрационных документов, перечень которых устанавливается Правительством Кыргызской Республики, или представления поддельных (подложных)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невозможности идентификации транспортного средства вследствие подделки, сокрытия, изменения и (или) уничтожения маркировки номерных агрегатов, нанесенных изготовителем транспортного средства до принятия уполномоченным государственным органом решения о возможности совершения его регистрации (перерегистрации) в соответствии с законодательством Кыргызской Республики в сфере регистрации транспортных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замены составляющей части конструкции, имеющей маркировочное идентификационное обозначение транспортного средства, указанное в регистрационных документах, в нарушение требований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нахождения транспортного средства в розыске.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сведений в автоматизированной информационной системе о задолженностях владельца транспортного средства по штрафам за нарушения, зафиксированные в автоматическом режиме сертифицированными специальными контрольно-измерительными техническими средствами, имеющими функции фото- и киносъемки, видеозаписи, владельцу транспортного средства необходимо оплатить штрафы за нарушения перед перерегистрацией транспортного средства, установок и оборудования.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устранении нарушений, указанных в настоящей статье, разрешается регистрация транспортного средства или изменение регистрационных данных.";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k-sjq_kulbea5ba-ke9e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статье 25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1 после слова "деятельности," дополнить словами "в том числе предусмотренных пунктом 3 настоящей статьи,";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абзацах девятом и одиннадцатом слово "категория" заменить словом "подкатегория";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тринадцатом слова "категория "С1" заменить словами "подкатегория "С1";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пятнадцатом слово "категория" заменить словом "подкатегория";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восемнадцатом слова "категория "С1Е" заменить словами "подкатегория "С1Е";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</w:t>
      </w:r>
      <w:hyperlink w:history="1" r:id="rIdqimo-5i0jmiaekq_kwcf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3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Наличие сведений в автоматизированной информационной системе о задолженностях заявителя по штрафам за нарушения, зафиксированные в автоматическом режиме сертифицированными специальными контрольно-измерительными техническими средствами, имеющими функции фото- и видеозаписи, является основанием для отказа в выдаче водительского удостоверения.";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d0ygtrhgos5ls2dpjmzp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статью 26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qzknndrbzsud-bhwcfoo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Статья 26</w:t>
        </w:r>
      </w:hyperlink>
      <w:r>
        <w:rPr>
          <w:rFonts w:ascii="Arial" w:cs="Arial" w:eastAsia="Arial" w:hAnsi="Arial"/>
          <w:sz w:val="24"/>
          <w:szCs w:val="24"/>
        </w:rPr>
        <w:t xml:space="preserve">. Основные требования по подготовке водителей транспортных средств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Право управления транспортными средствами соответствующей категории (подкатегории) получают граждане, допущенные по медицинским показаниям к управлению транспортными средствами соответствующей категории (подкатегории), сдавшие теоретические и практические экзамены в уполномоченном органе в сфере регистрации транспортных средств и водительского состава и прошедшие соответствующее обучение (переобучение) в учебной (образовательной) организации по программе подготовки водителей транспортных средств соответствующей категории (подкатегории).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Программы подготовки водителей транспортных средств соответствующей категории (подкатегории) разрабатываются учебными (образовательными) организациями на основании соответствующих государственных образовательных стандартов, утвержденных уполномоченным государственным органом в сфере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Медицинские противопоказания и ограничения к управлению транспортными средствами соответствующей категории (подкатегории) и порядок проведения медицинского освидетельствования утверждаются Правительством Кыргызской Республики.".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(Утратила силу в соответствии с </w:t>
      </w:r>
      <w:hyperlink w:history="1" r:id="rId_ske2-jxbne8ghjz2ph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28 октября 2021 года № 126)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22 февраля 2019 года N 13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lgebdfsjh-3ndx9hcg7p" Type="http://schemas.openxmlformats.org/officeDocument/2006/relationships/hyperlink" Target="http://kodeks.duckdns.org/document/112305" TargetMode="External"/><Relationship Id="rIdiqdiib5pgvimawsj212ln" Type="http://schemas.openxmlformats.org/officeDocument/2006/relationships/hyperlink" Target="http://kodeks.duckdns.org/document/60" TargetMode="External"/><Relationship Id="rIdwqymqpg-y6xwc-slzrrub" Type="http://schemas.openxmlformats.org/officeDocument/2006/relationships/hyperlink" Target="http://kodeks.duckdns.org/document/60" TargetMode="External"/><Relationship Id="rIdaom6fqqgfm2mdtx_u17aj" Type="http://schemas.openxmlformats.org/officeDocument/2006/relationships/hyperlink" Target="http://kodeks.duckdns.org/document/60#st_23_1" TargetMode="External"/><Relationship Id="rIdb7aokn6-htf3fhx-_nqop" Type="http://schemas.openxmlformats.org/officeDocument/2006/relationships/hyperlink" Target="http://kodeks.duckdns.org/document/60#st_23_1" TargetMode="External"/><Relationship Id="rIdk9seoixi6vuu-mqvqd3wo" Type="http://schemas.openxmlformats.org/officeDocument/2006/relationships/hyperlink" Target="http://kodeks.duckdns.org/document/60#st_14" TargetMode="External"/><Relationship Id="rIdvjy5xnpg5fjfyvzsk2lwv" Type="http://schemas.openxmlformats.org/officeDocument/2006/relationships/hyperlink" Target="http://kodeks.duckdns.org/document/60#st_24" TargetMode="External"/><Relationship Id="rId9wdi6cg3osnzlgmfeqkz5" Type="http://schemas.openxmlformats.org/officeDocument/2006/relationships/hyperlink" Target="http://kodeks.duckdns.org/document/60#st_24" TargetMode="External"/><Relationship Id="rIdalyx6bpek43tf0ciqvgyg" Type="http://schemas.openxmlformats.org/officeDocument/2006/relationships/hyperlink" Target="http://kodeks.duckdns.org/document/60#st_16" TargetMode="External"/><Relationship Id="rIdk-sjq_kulbea5ba-ke9el" Type="http://schemas.openxmlformats.org/officeDocument/2006/relationships/hyperlink" Target="http://kodeks.duckdns.org/document/60#st_25" TargetMode="External"/><Relationship Id="rIdqimo-5i0jmiaekq_kwcff" Type="http://schemas.openxmlformats.org/officeDocument/2006/relationships/hyperlink" Target="http://kodeks.duckdns.org/document/60#st_25" TargetMode="External"/><Relationship Id="rIdd0ygtrhgos5ls2dpjmzpw" Type="http://schemas.openxmlformats.org/officeDocument/2006/relationships/hyperlink" Target="http://kodeks.duckdns.org/document/60#st_26" TargetMode="External"/><Relationship Id="rIdqzknndrbzsud-bhwcfoom" Type="http://schemas.openxmlformats.org/officeDocument/2006/relationships/hyperlink" Target="http://kodeks.duckdns.org/document/60#st_26" TargetMode="External"/><Relationship Id="rId_ske2-jxbne8ghjz2pheu" Type="http://schemas.openxmlformats.org/officeDocument/2006/relationships/hyperlink" Target="http://kodeks.duckdns.org/document/112305" TargetMode="External"/><Relationship Id="rId7" Type="http://schemas.openxmlformats.org/officeDocument/2006/relationships/image" Target="media/93bec1c1538034512fe33c1434ae0ea86b639d33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2026-09-23T00:05:03.142Z</dcterms:created>
  <dcterms:modified xsi:type="dcterms:W3CDTF">2026-09-23T00:05:03.142Z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