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8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2019 года № 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бюджете Фонда обязательного медицинского страхования при Правительстве Кыргызской Республики на 2019 год и прогнозе на 2020-2021 годы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17hgspace64ruh6ciiv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2020 года № 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 декабря 201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Фонда обязательного медицинского страхования при Правительстве Кыргызской Республики на 2019 год по доходам и расходам в сумме 15720544,3 тыс. сомов согласно </w:t>
      </w:r>
      <w:hyperlink w:history="1" r:id="rIdzioksmvubgzomhkosv_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oirfbjubff89h08ivnh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2020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бюджета Фонда обязательного медицинского страхования при Правительстве Кыргызской Республики на 2020-2021 годы согласно </w:t>
      </w:r>
      <w:hyperlink w:history="1" r:id="rIdshqk9wlcdvlqs3alyjf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бюджета Фонда обязательного медицинского страхования при Правительстве Кыргызской Республики на 2019 год согласно </w:t>
      </w:r>
      <w:hyperlink w:history="1" r:id="rIdv0zh_ynkhhm7t1rgkdy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расходную часть бюджета Фонда обязательного медицинского страхования при Правительстве Кыргызской Республики на 2019 год согласно приложениям </w:t>
      </w:r>
      <w:hyperlink w:history="1" r:id="rIdjypn5ssymzexcfhmcwd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8j3vgp8dpzjkymyqce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бюджет Фонда обязательного медицинского страхования при Правительстве Кыргызской Республики на 2019-2021 годы на программной основе согласно </w:t>
      </w:r>
      <w:hyperlink w:history="1" r:id="rId7l_-zblnla5v-yjumrw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размер ассигнований из республиканского бюджета, передаваемых Фонду обязательного медицинского страхования при Правительстве Кыргызской Республики, в сумме: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2019 год - 11129175,1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прогнозы на 2020 год - 10286200,0 тыс. сомов, на 2021 год - 10324420,0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Уполномоченному государственному органу по прогнозированию и исполнению бюджета обеспечить в течение года равномерное выделение ассигнований, передаваемых из республиканского бюджета в бюджет Фонда обязательного медицинского страхования при Правительстве Кыргызской Республики, в размере одной двенадцатой части от утвержденного годового размера в полном объеме.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объем средств, передаваемых из бюджета Социального фонда Кыргызской Республики в бюджет Фонда обязательного медицинского страхования при Правительстве Кыргызской Республики, в сумме: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2019 год - 2388285,3 тыс.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прогнозы на 2020 год - в сумме 2505432,0 тыс. сомов, на 2021 год - в сумме 2666376,8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Социальному фонду Кыргызской Республики обеспечить в течение года равномерное перечисление средств страховых взносов на обязательное медицинское страхование в бюджет Фонда обязательного медицинского страхования при Правительстве Кыргызской Республики в размере одной двенадцатой части от утвержденного годового размера в полном объеме.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b-6ezyor-cewcsiins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2020 года № 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объем оборотной кассовой наличности бюджета Фонда обязательного медицинского страхования при Правительстве Кыргызской Республики на начало 2019 года в сумме 180000,0 тыс.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оборотную кассовую наличность, образовавшуюся в течение года, на исполнение расходных обязательств Фонда обязательного медицинского страхования при Правительстве Кыргызской Республики с обязательным ее восстановлением до конца бюджетного года за счет поступивших средств по страховым взносам на обязательное медицинское страхование.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вправе вносить предложения: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внесении изменений в приложения к настоящему Закону в пределах суммы, утвержденной статьей 1 настоящего Закона, если это не приведет к уменьшению доходной части бюджета Фонда обязательного медицинского страхования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дополнительном финансировании сверх утвержденного бюджета, необходимом для исполнения неотложных мероприятий, с указанием источников доходов до внесения проекта закона о внесении изменений в настоящий Закон в соответствии с постановлениями и/или распоряжениями Правительства Кыргызской Республики, по согласованию с Комитетом Жогорку Кенеша Кыргызской Республики по бюджету и финансам;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изменении размеров ассигнований из средств республиканского бюджета Кыргызской Республики и поступлений страховых взносов на обязательное медицинское страхование в сторону уменьшения в случае невыполнения доходных частей республиканского бюджета Кыргызской Республики и бюджета Социального фонда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настоящий Закон в течение бюджетного года могут вноситься изменения не более двух раз - до 1 июня и до 1 ноября текущего бюджетного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базовые нормативы, используемые для расчетов по оплате за оказанные медицинские и иные услуги организациями здравоохранения системы Единого плательщика на 2019 год согласно </w:t>
      </w:r>
      <w:hyperlink w:history="1" r:id="rIdllmlbeax0-cr1klysc3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расчетный показатель по базовому государственному медицинскому страхованию на душу населения на 2019 год в размере 1500 (одна тысяча пятьсот)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государственные закупки услуг гемодиализа осуществляются методом прямого заключения договора с организациями здравоохранения, включенными в Перечень частных организаций здравоохранения, оказывающих услуги гемодиализа остронуждающимся пациентам с терминальной стадией хронической почечной недостаточности, утверждаемый уполномоченным государственным органом Кыргызской Республики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полномочия по администрированию формирования и исполнения бюджетов организаций здравоохранения за оказанные услуги на договорной основе и оказанию платных государственных услуг возлагаются на Фонд обязательного медицинского страхования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Остатки неиспользованных средств на счетах Фонда обязательного медицинского страхования при Правительстве Кыргызской Республики и организаций здравоохранения, работающих в системе Единого плательщика, переносятся на очередной бюджетный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выделения ассигнований из республиканского бюджета не в полном объеме сумма задолженности переходит на очередной бюджетный год и предусматривается в проекте республиканского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 обязательного медицинского страхования при Правительстве Кыргызской Республики в процессе исполнения бюджета несет ответственность за осуществление своевременной и полной оплаты организациям здравоохранения, работающим в системе Единого плательщика, за оказанные услуги на договорной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Ответственность за обеспечение полноты собственных расходов возлагается на руководителей организаций здравоохранения, работающих в системе Единого плательщика.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средства, использованные организациями здравоохранения и Фондом обязательного медицинского страхования при Правительстве Кыргызской Республики в нарушение законодательства в сфере бюджетного регулирования, а также в сфере здравоохранения и медицинского страхования, подлежат перечислению в доходную часть бюджета Фонда обязательного медицинского страхования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2019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принять необходимые меры, направленные на реализацию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внесении изменений в Закон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
 Фонда обязательного медицинского страхования при Правительстве Кыргызской Республики на 2019 год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lo-dekw3oh5dnwujjx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2020 года № 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83"/>
        <w:gridCol w:w="7682"/>
        <w:gridCol w:w="1413"/>
      </w:tblGrid>
      <w:tr>
        <w:tc>
          <w:tcPr>
            <w:tcW w:type="dxa" w:w="10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7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ресурсов: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15720544,3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15442409,1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10441,4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</w:t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10441,4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13526718,7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1 312</w:t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от международных организаций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9258,3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1 333</w:t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129175,1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1 335</w:t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2388285,3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1905249,0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1 423</w:t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1905249,0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специальные средства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815704,1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сооплаты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611299,3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ОФ "Фонд поддержки онкологической службы"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478245,6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278135,2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общие расходы: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15720544,3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15720544,3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85048,0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14670,8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15591513,4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6877,5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1340,3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Выплаты по решению суда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162,1</w:t>
            </w:r>
          </w:p>
        </w:tc>
      </w:tr>
      <w:tr>
        <w:tc>
          <w:tcPr>
            <w:tcW w:type="dxa" w:w="10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20932,2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Прогноз
 бюджета Фонда обязательного медицинского страхования при Правительстве Кыргызской Республики на 2020-2021 годы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2"/>
        <w:gridCol w:w="6432"/>
        <w:gridCol w:w="1413"/>
        <w:gridCol w:w="1411"/>
      </w:tblGrid>
      <w:tr>
        <w:tc>
          <w:tcPr>
            <w:tcW w:type="dxa" w:w="9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64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4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ресурсов: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14640464,8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14932071,1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6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14450464,8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14732071,1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6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10000,0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</w:t>
            </w:r>
          </w:p>
        </w:tc>
        <w:tc>
          <w:tcPr>
            <w:tcW w:type="dxa" w:w="6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6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12791632,0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12990796,8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</w:t>
            </w:r>
          </w:p>
        </w:tc>
        <w:tc>
          <w:tcPr>
            <w:tcW w:type="dxa" w:w="6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10286200,0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10324420,0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1335</w:t>
            </w:r>
          </w:p>
        </w:tc>
        <w:tc>
          <w:tcPr>
            <w:tcW w:type="dxa" w:w="6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2505432,0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2666376,8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6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1648832,8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1731274,3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</w:t>
            </w:r>
          </w:p>
        </w:tc>
        <w:tc>
          <w:tcPr>
            <w:tcW w:type="dxa" w:w="6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1648832,8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1731274,3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сооплаты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577091,5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605946,0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190000,0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общие расходы: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14640464,8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14932071,1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6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14640464,8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14932071,1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6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85048,0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85048,0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6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14669,9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14669,9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6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14505114,8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14785721,1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6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7204,1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7204,1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6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1310,3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1310,3</w:t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6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27117,7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38117,7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
 Фонда обязательного медицинского страхования при Правительстве Кыргызской Республики на 2019 год – Доходы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ythy2rkc71ktzpgnp6_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2020 года № 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93"/>
        <w:gridCol w:w="7372"/>
        <w:gridCol w:w="1413"/>
      </w:tblGrid>
      <w:tr>
        <w:tc>
          <w:tcPr>
            <w:tcW w:type="dxa" w:w="1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73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1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с учетом остатка на начало года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15720544,3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278135,2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15442409,1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10441,4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1 231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10441,4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12 311 200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выдачи полиса ОМС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12 311 500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в результате незаконного или нецелевого использования средств бюджета Фонда обязательного медицинского страхования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333,0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12 311 900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доходы, не противоречащие законодательству Кыргызской Республики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108,4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13526718,7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1 312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Трансферты от международных организаций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9258,3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13 121 100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9258,3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1 333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11129175,1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13 332 100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на базовое государственное медицинское страхование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10699537,4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13 332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льготные категории населения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429637,7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13 332 210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детей до 16 лет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322932,7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13 332 220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пенсионеров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73448,3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13 332 230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инвалидов с детства и лиц, получающих социальные пособия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9394,8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13 332 240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учащихся начальных профессиональных учебных заведений, студентов средних и высших профессиональных учебных заведений до достижения ими возраста 21 года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20920,7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13 332 250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безработных граждан, официально зарегистрированных в государственной службе занятости населения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2602,9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13 332 260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компенсаций страховых взносов на обязательное медицинское страхование военнослужащих срочной службы, офицеров, прапорщиков, военнослужащих сверхсрочной службы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338,3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1 335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2388285,3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13 351 100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 на обязательное медицинское страхование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2388285,3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1905249,0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1423</w:t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1905249,0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специальные средства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815704,1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сооплаты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611299,3</w:t>
            </w:r>
          </w:p>
        </w:tc>
      </w:tr>
      <w:tr>
        <w:tc>
          <w:tcPr>
            <w:tcW w:type="dxa" w:w="1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ОФ "Фонд поддержки онкологической службы"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478245,6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3а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Доходы
 бюджета Фонда обязательного медицинского страхования при Правительстве Кыргызской Республики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32"/>
        <w:gridCol w:w="1149"/>
        <w:gridCol w:w="1149"/>
        <w:gridCol w:w="1151"/>
        <w:gridCol w:w="1149"/>
        <w:gridCol w:w="1151"/>
        <w:gridCol w:w="1149"/>
        <w:gridCol w:w="1151"/>
      </w:tblGrid>
      <w:tr>
        <w:tc>
          <w:tcPr>
            <w:tcW w:type="dxa" w:w="21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Исполнение бюджета за 2017 год</w:t>
            </w:r>
          </w:p>
        </w:tc>
        <w:tc>
          <w:tcPr>
            <w:tcW w:type="dxa" w:w="11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Уточненный бюджет на 2018 год</w:t>
            </w:r>
          </w:p>
        </w:tc>
        <w:tc>
          <w:tcPr>
            <w:tcW w:type="dxa" w:w="11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 бюджета на 2019 год</w:t>
            </w:r>
          </w:p>
        </w:tc>
        <w:tc>
          <w:tcPr>
            <w:tcW w:type="dxa" w:w="11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+/- 2019 г. к уточ. 2018 г.</w:t>
            </w:r>
          </w:p>
        </w:tc>
        <w:tc>
          <w:tcPr>
            <w:tcW w:type="dxa" w:w="11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  <w:tc>
          <w:tcPr>
            <w:tcW w:type="dxa" w:w="11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 бюджета на 2020 год</w:t>
            </w:r>
          </w:p>
        </w:tc>
        <w:tc>
          <w:tcPr>
            <w:tcW w:type="dxa" w:w="11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 бюджета на 2021 год</w:t>
            </w:r>
          </w:p>
        </w:tc>
      </w:tr>
      <w:tr>
        <w:tc>
          <w:tcPr>
            <w:tcW w:type="dxa" w:w="2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13134343,2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14818832,6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15030944,1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212111,5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1,4%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14640464,8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14932071,1</w:t>
            </w:r>
          </w:p>
        </w:tc>
      </w:tr>
      <w:tr>
        <w:tc>
          <w:tcPr>
            <w:tcW w:type="dxa" w:w="2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из бюджета Социального фонда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2167451,6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2328445,8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2388285,3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59839,5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26%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2505432,0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2666376,8</w:t>
            </w:r>
          </w:p>
        </w:tc>
      </w:tr>
      <w:tr>
        <w:tc>
          <w:tcPr>
            <w:tcW w:type="dxa" w:w="2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из республиканского бюджета на БГМС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9489608,6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10137059,5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10422704,0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285644,5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2,8%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9856562,3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9894782,3</w:t>
            </w:r>
          </w:p>
        </w:tc>
      </w:tr>
      <w:tr>
        <w:tc>
          <w:tcPr>
            <w:tcW w:type="dxa" w:w="2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из республиканского бюджета на ОМС детей до 16 лет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322932,7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322932,7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0,0%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322932,7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322932,7</w:t>
            </w:r>
          </w:p>
        </w:tc>
      </w:tr>
      <w:tr>
        <w:tc>
          <w:tcPr>
            <w:tcW w:type="dxa" w:w="2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из республиканского бюджета на ОМС пенсионеров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73448,3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73448,3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0,0%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73448,3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73448,3</w:t>
            </w:r>
          </w:p>
        </w:tc>
      </w:tr>
      <w:tr>
        <w:tc>
          <w:tcPr>
            <w:tcW w:type="dxa" w:w="2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из республиканского бюджета на ОМС инвалидов с детства и лиц, получающих социальные пособия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9394,8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9394,8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0,0%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9394,8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9394,8</w:t>
            </w:r>
          </w:p>
        </w:tc>
      </w:tr>
      <w:tr>
        <w:tc>
          <w:tcPr>
            <w:tcW w:type="dxa" w:w="2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из республиканского бюджета на ОМС студентов средних и высших профессиональных учебных заведений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20920,7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20920,7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0,0%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20920,7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20920,7</w:t>
            </w:r>
          </w:p>
        </w:tc>
      </w:tr>
      <w:tr>
        <w:tc>
          <w:tcPr>
            <w:tcW w:type="dxa" w:w="2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из республиканского бюджета на ОМС безработных граждан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2602,9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2602,9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0,0%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2602,9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2602,9</w:t>
            </w:r>
          </w:p>
        </w:tc>
      </w:tr>
      <w:tr>
        <w:tc>
          <w:tcPr>
            <w:tcW w:type="dxa" w:w="2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из республиканского бюджета на ОМС военнослужащих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338,3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338,3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0,0%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338,3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338,3</w:t>
            </w:r>
          </w:p>
        </w:tc>
      </w:tr>
      <w:tr>
        <w:tc>
          <w:tcPr>
            <w:tcW w:type="dxa" w:w="2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1222003,6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1148878,3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1570317,1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421438,8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36,7%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1648832,8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1731274,3</w:t>
            </w:r>
          </w:p>
        </w:tc>
      </w:tr>
      <w:tr>
        <w:tc>
          <w:tcPr>
            <w:tcW w:type="dxa" w:w="213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средства от платных услуг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770955,2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627507,3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1020706,1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393198,8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62,7%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1071741,3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1125328,3</w:t>
            </w:r>
          </w:p>
        </w:tc>
      </w:tr>
      <w:tr>
        <w:tc>
          <w:tcPr>
            <w:tcW w:type="dxa" w:w="2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сооплаты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451048,4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521371,0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549611,0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28240,0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5,4%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577091,5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605946,0</w:t>
            </w:r>
          </w:p>
        </w:tc>
      </w:tr>
      <w:tr>
        <w:tc>
          <w:tcPr>
            <w:tcW w:type="dxa" w:w="2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ОФ "Фонд поддержки онкологической службы"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478245,6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-478245,6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-100%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выдачи полиса ОМС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10197,8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11004,0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-1004,0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-9,1%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2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от международных организаций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245558,4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-215558,4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-87,8%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1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245081,6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40003,3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180000,0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139996,7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350,0%</w:t>
            </w:r>
          </w:p>
        </w:tc>
        <w:tc>
          <w:tcPr>
            <w:tcW w:type="dxa" w:w="11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190000,0</w:t>
            </w:r>
          </w:p>
        </w:tc>
        <w:tc>
          <w:tcPr>
            <w:tcW w:type="dxa" w:w="1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внесении изменений в Закон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
 Фонда обязательного медицинского страхования при Правительстве Кыргызской Республики на 2019 год - Расходы
 </w:t>
      </w:r>
      <w:r>
        <w:rPr>
          <w:rFonts w:ascii="Arial" w:cs="Arial" w:eastAsia="Arial" w:hAnsi="Arial"/>
          <w:sz w:val="24"/>
          <w:szCs w:val="24"/>
        </w:rPr>
        <w:t xml:space="preserve">(по ведомственной классификации и экономической классификации расходов)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vhr8zeg-06sebwobpoc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2020 года № 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55"/>
        <w:gridCol w:w="7910"/>
        <w:gridCol w:w="1413"/>
      </w:tblGrid>
      <w:tr>
        <w:tc>
          <w:tcPr>
            <w:tcW w:type="dxa" w:w="8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79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15720544,3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36110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(аппарат)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49280,3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28000,0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4830,0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060,3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1020,0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4370,0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49280,3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36121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(подведомственные учреждения)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88281,0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57048,0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9840,8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11197,1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2897,0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1340,3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по решению суда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162,1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5795,7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88281,0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36141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- Единый плательщик (подведомственные учреждения здравоохранения)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14426579,4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14426579,4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14426579,4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36210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(государственные программы, мероприятия и выплаты)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914443,5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914443,5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914443,5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36220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(улучшение технического оснащения и внедрение новейших технологий в области медицины)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34960,1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34960,1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34960,1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36230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(информационно-коммуникационное обеспечение и банковское обслуживание системы Единого плательщика) (аппарат)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10194,5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7894,5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10194,5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36230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(информационно-коммуникационное обеспечение и банковское обслуживание системы Единого плательщика) (подведомственные учреждения)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4805,5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1073,0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860,5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2872,0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4805,5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36240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(изготовление полисов ОМС)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36310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(страховой запас)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190000,0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190000,0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190000,0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расходы: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15720544,3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85048,0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14670,8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15591513,4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6877,5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1340,3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по решению суда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162,1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расходы: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15699612,1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20932,2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активы: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20932,2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РАСХОДЫ: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15720544,3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внесении изменений в Закон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
 Фонда обязательного медицинского страхования при Правительстве Кыргызской Республики на 2019 год - Расходы
 </w:t>
      </w:r>
      <w:r>
        <w:rPr>
          <w:rFonts w:ascii="Arial" w:cs="Arial" w:eastAsia="Arial" w:hAnsi="Arial"/>
          <w:sz w:val="24"/>
          <w:szCs w:val="24"/>
        </w:rPr>
        <w:t xml:space="preserve">(по функциональной классификации)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1zrfbkvzwnky9scfmba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2020 года № 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6"/>
        <w:gridCol w:w="7750"/>
        <w:gridCol w:w="1413"/>
      </w:tblGrid>
      <w:tr>
        <w:tc>
          <w:tcPr>
            <w:tcW w:type="dxa" w:w="10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77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 (по функциям)</w:t>
            </w:r>
          </w:p>
        </w:tc>
        <w:tc>
          <w:tcPr>
            <w:tcW w:type="dxa" w:w="1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- Единый плательщик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15720544,3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7071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334430,0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70711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334430,0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334430,0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льготное лекарственное обеспечение по Программе государственных гарантий по обеспечению граждан медико-санитарной помощью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48000,0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льготное лекарственное обеспечение по обязательному медицинскому страхованию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286430,0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Амбулаторные услуги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6284383,6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70721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услуги общего профиля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5372192,8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5372192,8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70722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Специализированные медицинские услуги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585013,5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585013,5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70723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Стоматологические услуги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327177,3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327177,3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7980128,1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70731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 общего профиля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5251989,7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5251989,7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70732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специализированных больниц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1715839,9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1715839,9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70733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медицинских центров, гинекологических больниц и родильных домов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322364,7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322364,7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70735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 и центров восстановительного лечения для детей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689933,8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689933,8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7074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в области здравоохранения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132055,2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70741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Станции скорой и неотложной помощи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132055,2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132055,2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7075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Научные исследования и опытно-конструкторские разработки в области здравоохранения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166740,5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70751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Научные исследования и опытно-конструкторские разработки в области здравоохранения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166740,5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166740,5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7076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822806,9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70761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822806,9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85048,0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14670,8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693776,0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6877,5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1340,3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по решению суда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162,1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20932,2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15720544,3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5а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Расходы
 бюджета Фонда обязательного медицинского страхования при Правительстве Кыргызской Республики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44"/>
        <w:gridCol w:w="1340"/>
        <w:gridCol w:w="1354"/>
        <w:gridCol w:w="1203"/>
        <w:gridCol w:w="994"/>
        <w:gridCol w:w="737"/>
        <w:gridCol w:w="1203"/>
        <w:gridCol w:w="1203"/>
      </w:tblGrid>
      <w:tr>
        <w:tc>
          <w:tcPr>
            <w:tcW w:type="dxa" w:w="21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Исполнение бюджета за 2017 год</w:t>
            </w:r>
          </w:p>
        </w:tc>
        <w:tc>
          <w:tcPr>
            <w:tcW w:type="dxa" w:w="13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Уточненный бюджет на 2018 год</w:t>
            </w:r>
          </w:p>
        </w:tc>
        <w:tc>
          <w:tcPr>
            <w:tcW w:type="dxa" w:w="12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 бюджета на 2019 год</w:t>
            </w:r>
          </w:p>
        </w:tc>
        <w:tc>
          <w:tcPr>
            <w:tcW w:type="dxa" w:w="9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+/- 2019 г. к уточ. 2018 г.</w:t>
            </w:r>
          </w:p>
        </w:tc>
        <w:tc>
          <w:tcPr>
            <w:tcW w:type="dxa" w:w="7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  <w:tc>
          <w:tcPr>
            <w:tcW w:type="dxa" w:w="12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 бюджета на 2020 год</w:t>
            </w:r>
          </w:p>
        </w:tc>
        <w:tc>
          <w:tcPr>
            <w:tcW w:type="dxa" w:w="12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 бюджета на 2021 год</w:t>
            </w:r>
          </w:p>
        </w:tc>
      </w:tr>
      <w:tr>
        <w:tc>
          <w:tcPr>
            <w:tcW w:type="dxa" w:w="2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13134343,2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14340587,0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15030944,1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690357,1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4,8%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14640464,8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14932071,1</w:t>
            </w:r>
          </w:p>
        </w:tc>
      </w:tr>
      <w:tr>
        <w:tc>
          <w:tcPr>
            <w:tcW w:type="dxa" w:w="2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Льготное лекарственное обеспечение ПГГ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35826,5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42676,5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12323,5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28,9%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55000,0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55000,0</w:t>
            </w:r>
          </w:p>
        </w:tc>
      </w:tr>
      <w:tr>
        <w:tc>
          <w:tcPr>
            <w:tcW w:type="dxa" w:w="2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Льготное лекарственное обеспечение ОМС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228560,0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276758,9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276069,6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-689,3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-0,2%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280000,0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290000,0</w:t>
            </w:r>
          </w:p>
        </w:tc>
      </w:tr>
      <w:tr>
        <w:tc>
          <w:tcPr>
            <w:tcW w:type="dxa" w:w="2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услуги общего профиля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4383036,6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4582493,2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5346243,1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749749,9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16,4%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5163622,3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5260207,7</w:t>
            </w:r>
          </w:p>
        </w:tc>
      </w:tr>
      <w:tr>
        <w:tc>
          <w:tcPr>
            <w:tcW w:type="dxa" w:w="2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Специализированные медуслуги (частные ОЗ по ОМС)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6878,4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8159,5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8360,4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200,9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8145,4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8297,7</w:t>
            </w:r>
          </w:p>
        </w:tc>
      </w:tr>
      <w:tr>
        <w:tc>
          <w:tcPr>
            <w:tcW w:type="dxa" w:w="2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Специализированные медуслуги (гемодиализ)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189201,7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354000,0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-68000,0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-19,2%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278643,9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283856,0</w:t>
            </w:r>
          </w:p>
        </w:tc>
      </w:tr>
      <w:tr>
        <w:tc>
          <w:tcPr>
            <w:tcW w:type="dxa" w:w="2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Стоматологические услуги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296852,8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319409,4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294562,2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-24847,2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-7,8%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286985,9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292354,0</w:t>
            </w:r>
          </w:p>
        </w:tc>
      </w:tr>
      <w:tr>
        <w:tc>
          <w:tcPr>
            <w:tcW w:type="dxa" w:w="2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больниц общего профиля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4970102,1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5343017,3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5261909,6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-67107,7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-1,3%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5140210,8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5236358,3</w:t>
            </w:r>
          </w:p>
        </w:tc>
      </w:tr>
      <w:tr>
        <w:tc>
          <w:tcPr>
            <w:tcW w:type="dxa" w:w="2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специализированных больниц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1684990,7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1708754,8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1856704,6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147949,8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1808949,3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1842785,6</w:t>
            </w:r>
          </w:p>
        </w:tc>
      </w:tr>
      <w:tr>
        <w:tc>
          <w:tcPr>
            <w:tcW w:type="dxa" w:w="2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медицинских центров, гинекологических больниц и родильных домов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259026,2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322637,3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325169,6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2532,3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316806,1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322731,9</w:t>
            </w:r>
          </w:p>
        </w:tc>
      </w:tr>
      <w:tr>
        <w:tc>
          <w:tcPr>
            <w:tcW w:type="dxa" w:w="2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больниц и центров восстановительного лечения для детей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640338,8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729185,3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663663,5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-65521,8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-9,0%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646593,8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658688,3</w:t>
            </w:r>
          </w:p>
        </w:tc>
      </w:tr>
      <w:tr>
        <w:tc>
          <w:tcPr>
            <w:tcW w:type="dxa" w:w="2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Станции скорой и неотложной помощи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120773,3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131170,0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131700,2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530,2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128312,8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130712,9</w:t>
            </w:r>
          </w:p>
        </w:tc>
      </w:tr>
      <w:tr>
        <w:tc>
          <w:tcPr>
            <w:tcW w:type="dxa" w:w="2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Научные исследования и опытно-конструкторские разработки в области здравоохранения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157203,6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176106,2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158265,1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-17841,1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-10,1%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154194,4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157078,7</w:t>
            </w:r>
          </w:p>
        </w:tc>
      </w:tr>
      <w:tr>
        <w:tc>
          <w:tcPr>
            <w:tcW w:type="dxa" w:w="2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расходы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126890,1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126563,8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10436,2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142000,0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152000,0</w:t>
            </w:r>
          </w:p>
        </w:tc>
      </w:tr>
      <w:tr>
        <w:tc>
          <w:tcPr>
            <w:tcW w:type="dxa" w:w="2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информационное обеспечение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9662,4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14654,8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345,2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16000,0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17000,0</w:t>
            </w:r>
          </w:p>
        </w:tc>
      </w:tr>
      <w:tr>
        <w:tc>
          <w:tcPr>
            <w:tcW w:type="dxa" w:w="2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поддержку и развитие здравоохранения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</w:tr>
      <w:tr>
        <w:tc>
          <w:tcPr>
            <w:tcW w:type="dxa" w:w="2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Страховой запас</w:t>
            </w:r>
          </w:p>
        </w:tc>
        <w:tc>
          <w:tcPr>
            <w:tcW w:type="dxa" w:w="1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180000,0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190296,2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10296,2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5,7%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190000,0</w:t>
            </w:r>
          </w:p>
        </w:tc>
        <w:tc>
          <w:tcPr>
            <w:tcW w:type="dxa" w:w="1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внесении изменений в Закон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
 Фонда обязательного медицинского страхования при Правительстве Кыргызской Республики на 2019-2021 годы на программной основе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sezux-6iripfac8uh-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2020 года № 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0"/>
        <w:gridCol w:w="670"/>
        <w:gridCol w:w="670"/>
        <w:gridCol w:w="3929"/>
        <w:gridCol w:w="1413"/>
        <w:gridCol w:w="1413"/>
        <w:gridCol w:w="1413"/>
      </w:tblGrid>
      <w:tr>
        <w:tc>
          <w:tcPr>
            <w:tcW w:type="dxa" w:w="67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ПР</w:t>
            </w:r>
          </w:p>
        </w:tc>
        <w:tc>
          <w:tcPr>
            <w:tcW w:type="dxa" w:w="6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ME</w:t>
            </w:r>
          </w:p>
        </w:tc>
        <w:tc>
          <w:tcPr>
            <w:tcW w:type="dxa" w:w="6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ИН</w:t>
            </w:r>
          </w:p>
        </w:tc>
        <w:tc>
          <w:tcPr>
            <w:tcW w:type="dxa" w:w="39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Бюджетные программы/Бюджетные меры</w:t>
            </w:r>
          </w:p>
        </w:tc>
        <w:tc>
          <w:tcPr>
            <w:tcW w:type="dxa" w:w="423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
 (по программам/мерам)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1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1. Планирование, управление и администрирование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институциональное усиление Фонда обязательного медицинского страхования при Правительстве Кыргызской Республики (далее - Фонд обязательного медицинского страхования) в качестве Единого плательщика. Координирующее и организационное воздействие на реализацию других программ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общего руководства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3083,6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2920,9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2920,9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планирования, утверждения и исполнения бюджета Фонда обязательного медицинского страхования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6425,4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6756,4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6756,4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учета и отчетности по бюджету Фонда обязательного медицинского страхования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1753,8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1841,6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1841,6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проведения оценки качества медицинских услуг, предоставляемых организациями здравоохранения в системе Единого плательщика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3082,0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3254,1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3254,1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принятия комплекса мер по эффективному и рациональному исполнению бюджета Фонда обязательного медицинского страхования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3456,5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4962,7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4962,7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работы по повышению уровня информированности населения о правах при получении медицинских услуг в рамках реализуемых программ Фондом обязательного медицинского страхования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3570,2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3824,8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3824,8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сопровождения информационных систем и баз данных Фонда обязательного медицинского страхования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2383,8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2729,3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2729,3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информационных систем и баз данных Фонда обязательного медицинского страхования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16000,0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17000,0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деятельности службы обеспечения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27525,0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27429,2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37429,2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координация на региональном уровне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88281,0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88281,0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88281,0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1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154561,3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158000,0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169000,0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1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2. Предоставление услуг первичной медико-санитарной помощи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раннее выявление, диагностика заболеваний, повышение качества и эффективности предоставления медицинской и профилактической помощи на уровне первичной медико-санитарной помощи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экстренной (скорой) медицинской помощи населению республики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448499,0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452984,0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454796,0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базовых медицинских услуг на уровне первичной медико-санитарной помощи населению республики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4448140,8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3738015,6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3797823,8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медицинской помощи по борьбе с туберкулезом, оказываемой организациями первичной медико-санитарной помощи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33372,0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35000,0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35000,0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населения республики к льготному лекарственному обеспечению по Программе государственных гарантий (онкологическим больным в терминальной стадии; больным параноидной шизофренией и хроническими бредовыми расстройствами; больным аффективными расстройствами различного генеза; больным эпилепсией; больным бронхиальной астмой)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48000,0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55000,0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застрахованного населения республики к льготному лекарственному обеспечению по обязательному медицинскому страхованию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286430,0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280000,0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290000,0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населению платных медицинских услуг сверх объема Программы государственных гарантий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336895,1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266881,8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280225,9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немедицинских и иных услуг организациями здравоохранения, работающими в системе Единого плательщика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85055,2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73280,4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76944,4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предоставления медицинской помощи населению путем стимулирования групп семейных врачей за достижение целевых показателей качества деятельности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66919,0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100000,0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2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5753311,1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5001161,8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5089790,1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1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3. Предоставление услуг организациями здравоохранения на стационарном уровне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повышение качества и эффективности предоставления гарантированной медицинской помощи на стационарном уровне в рамках Программы государственных гарантий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населению республики на уровне стационарной помощи в рамках Программы государственных гарантий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6438252,3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6570871,6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6677964,0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медицинской помощи по борьбе с туберкулезом, оказываемой организациями здравоохранения стационарного уровня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660981,1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705187,5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716470,5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 уровне специализированной онкологической и гематологической помощи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172714,2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176513,9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179338,2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 уровне специализированной кардиохирургической помощи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55500,7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56318,2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57219,3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 уровне специализированной психиатрической помощи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279277,5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277741,2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282185,0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населению платных медицинских услуг сверх объема Программы государственных гарантий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478809,0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495628,2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520409,6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немедицинских и иных услуг организациями здравоохранения, работающими в системе Единого плательщика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526244,1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813042,4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853694,4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предоставления стационарной медицинской помощи населению путем стимулирования за достижение целевых показателей качества деятельности организации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142633,9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100000,0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3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8754412,8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9195303,0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9387281,0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16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4. Обеспечение доступности медицинских и иных услуг, оказываемых населению сверх объема Программы государственных гарантий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повышение уровня удовлетворенности граждан посредством предоставления расширенного спектра услуг организациями здравоохранения независимо от форм собственности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к льготному гемодиализному лечению остронуждающихся пациентов с терминальной стадией хронической почечной недостаточности пятой стадии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580013,5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286000,0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286000,0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Общественного фонда "Фонд поддержки онкологической службы"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478245,6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4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1058259,1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286000,0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286000,0</w:t>
            </w:r>
          </w:p>
        </w:tc>
      </w:tr>
      <w:tr>
        <w:tc>
          <w:tcPr>
            <w:tcW w:type="dxa" w:w="6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15720544,3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14640464,8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14932071,1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ПP - код программы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ME - код меры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бюджете Фонда обязательного медицинского страхования при Правительстве Кыргызской Республики на 2019 год и прогнозе на 2020-2021 годы"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Базовые нормативы,
 используемые для расчетов по оплате за оказанные медицинские и иные услуги организациями здравоохранения системы Единого плательщика на 2019 год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5"/>
        <w:gridCol w:w="7912"/>
        <w:gridCol w:w="1620"/>
      </w:tblGrid>
      <w:tr>
        <w:tc>
          <w:tcPr>
            <w:tcW w:type="dxa" w:w="6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9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ставка оплаты медицинских услуг стационаров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5100,20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Поправочный коэффициент к базовой ставке для застрахованных граждан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1,4902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ставка оплаты медицинских услуг противотуберкулезным организациям здравоохранения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39577,90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Поправочный коэффициент к базовой ставке для застрахованных граждан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1,0632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ставка оплаты медицинских услуг в специализированных организациях здравоохранения: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онкологической службы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10559,80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гематологической службы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32909,36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кардиохирургической службы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2962,97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психиатрической службы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20984,64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финансирования групп семейных врачей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173,14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Поправочный коэффициент к подушевому нормативу для застрахованных граждан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2,1551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финансирования Центров семейной медицины (ЦСМ)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166,36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финансирования стоматологических поликлиник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139,48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финансирования на 1 линейную бригаду скорой медицинской помощи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570054,64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на льготное лекарственное обеспечение застрахованных граждан по Базовой программе ОМС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70,00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на застрахованных граждан по Базовой программе ОМС (Государственное учреждение "Клиническая больница управления делами Президента и Правительства Кыргызской Республики")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200,00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ставка оплаты медицинских услуг стационаров, работающих по Базовой программе ОМС, для застрахованных граждан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2500,00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оплаты возмещения 1 пролеченного случая для здорового новорожденного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750,00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Бишкекского городского центра борьбы с туберкулезом на приписанное население города Бишкек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24,33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оплаты возмещения 1 сеанса гемодиализа для организаций здравоохранения с частной формой собственности, оказывающих услуги гемодиализа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4700,00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оплаты за успешное завершение лечения на амбулаторном уровне: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чувствительного туберкулеза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12000,00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устойчивого туберкулеза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24000,00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7hgspace64ruh6ciivgd" Type="http://schemas.openxmlformats.org/officeDocument/2006/relationships/hyperlink" Target="http://kodeks.duckdns.org/document/112014" TargetMode="External"/><Relationship Id="rIdzioksmvubgzomhkosv_ck" Type="http://schemas.openxmlformats.org/officeDocument/2006/relationships/hyperlink" Target="http://kodeks.duckdns.org/document/111883#st_1" TargetMode="External"/><Relationship Id="rIdoirfbjubff89h08ivnhmi" Type="http://schemas.openxmlformats.org/officeDocument/2006/relationships/hyperlink" Target="http://kodeks.duckdns.org/document/112014" TargetMode="External"/><Relationship Id="rIdshqk9wlcdvlqs3alyjfjt" Type="http://schemas.openxmlformats.org/officeDocument/2006/relationships/hyperlink" Target="http://kodeks.duckdns.org/document/111883#st_2" TargetMode="External"/><Relationship Id="rIdv0zh_ynkhhm7t1rgkdyyr" Type="http://schemas.openxmlformats.org/officeDocument/2006/relationships/hyperlink" Target="http://kodeks.duckdns.org/document/111883#st_3" TargetMode="External"/><Relationship Id="rIdjypn5ssymzexcfhmcwd6e" Type="http://schemas.openxmlformats.org/officeDocument/2006/relationships/hyperlink" Target="http://kodeks.duckdns.org/document/111883#st_4" TargetMode="External"/><Relationship Id="rIdv8j3vgp8dpzjkymyqcevy" Type="http://schemas.openxmlformats.org/officeDocument/2006/relationships/hyperlink" Target="http://kodeks.duckdns.org/document/111883#st_5" TargetMode="External"/><Relationship Id="rId7l_-zblnla5v-yjumrwcn" Type="http://schemas.openxmlformats.org/officeDocument/2006/relationships/hyperlink" Target="http://kodeks.duckdns.org/document/111883#st_6" TargetMode="External"/><Relationship Id="rIddb-6ezyor-cewcsiinsfu" Type="http://schemas.openxmlformats.org/officeDocument/2006/relationships/hyperlink" Target="http://kodeks.duckdns.org/document/112014" TargetMode="External"/><Relationship Id="rIdllmlbeax0-cr1klysc3zv" Type="http://schemas.openxmlformats.org/officeDocument/2006/relationships/hyperlink" Target="http://kodeks.duckdns.org/document/111883#st_7" TargetMode="External"/><Relationship Id="rIdllo-dekw3oh5dnwujjxza" Type="http://schemas.openxmlformats.org/officeDocument/2006/relationships/hyperlink" Target="http://kodeks.duckdns.org/document/112014" TargetMode="External"/><Relationship Id="rIdjythy2rkc71ktzpgnp6_k" Type="http://schemas.openxmlformats.org/officeDocument/2006/relationships/hyperlink" Target="http://kodeks.duckdns.org/document/112014" TargetMode="External"/><Relationship Id="rIdhvhr8zeg-06sebwobpoct" Type="http://schemas.openxmlformats.org/officeDocument/2006/relationships/hyperlink" Target="http://kodeks.duckdns.org/document/112014" TargetMode="External"/><Relationship Id="rId1zrfbkvzwnky9scfmbapp" Type="http://schemas.openxmlformats.org/officeDocument/2006/relationships/hyperlink" Target="http://kodeks.duckdns.org/document/112014" TargetMode="External"/><Relationship Id="rIdusezux-6iripfac8uh-hj" Type="http://schemas.openxmlformats.org/officeDocument/2006/relationships/hyperlink" Target="http://kodeks.duckdns.org/document/112014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2026-09-23T07:25:47.584Z</dcterms:created>
  <dcterms:modified xsi:type="dcterms:W3CDTF">2026-09-23T07:25:47.584Z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