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гарантийных фондах в Кыргызской Республике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g7-gzqvccvy1t3h_ya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ft8w5khacwkd1urqa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qrax8t45d2b-zihekg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создания и деятельности гарантийных фондов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 - Национальный банк) и осуществляющее гарантийную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</w:t>
      </w:r>
      <w:r>
        <w:rPr>
          <w:rFonts w:ascii="Arial" w:cs="Arial" w:eastAsia="Arial" w:hAnsi="Arial"/>
          <w:sz w:val="24"/>
          <w:szCs w:val="24"/>
        </w:rPr>
        <w:t xml:space="preserve">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kdxzbxmmw6sd8qus3rv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января 2025 года № 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lom5i6xh70hxnt78xdv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января 2025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клиента</w:t>
      </w:r>
      <w:r>
        <w:rPr>
          <w:rFonts w:ascii="Arial" w:cs="Arial" w:eastAsia="Arial" w:hAnsi="Arial"/>
          <w:sz w:val="24"/>
          <w:szCs w:val="24"/>
        </w:rPr>
        <w:t xml:space="preserve"> - обязательства, возникшие в рамках полученного от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финансирования и соответствующие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</w:t>
      </w:r>
      <w:r>
        <w:rPr>
          <w:rFonts w:ascii="Arial" w:cs="Arial" w:eastAsia="Arial" w:hAnsi="Arial"/>
          <w:sz w:val="24"/>
          <w:szCs w:val="24"/>
        </w:rPr>
        <w:t xml:space="preserve"> - обязательство гарантийного фонда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нести ответственность за исполнение части обязательств по основному долгу клиента по договорам финансирования в пределах суммы предоставленной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предоставления гарантий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фонда, регламентирующий порядок и условия предоставления гарантий, виды гарантийных инструментов, принципы предоставления гарантий, критерии и требования отбора обязательств клиентов, а также условия амортизации гарантии и ответственность сторон, соответствующий требованиям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гарантийные инструменты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форм и видов гарантий, используемых для обеспечения обязательств клиентов по договорам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организации</w:t>
      </w:r>
      <w:r>
        <w:rPr>
          <w:rFonts w:ascii="Arial" w:cs="Arial" w:eastAsia="Arial" w:hAnsi="Arial"/>
          <w:sz w:val="24"/>
          <w:szCs w:val="24"/>
        </w:rPr>
        <w:t xml:space="preserve">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международные финансовые организации</w:t>
      </w:r>
      <w:r>
        <w:rPr>
          <w:rFonts w:ascii="Arial" w:cs="Arial" w:eastAsia="Arial" w:hAnsi="Arial"/>
          <w:sz w:val="24"/>
          <w:szCs w:val="24"/>
        </w:rPr>
        <w:t xml:space="preserve">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</w:t>
      </w:r>
      <w:r>
        <w:rPr>
          <w:rFonts w:ascii="Arial" w:cs="Arial" w:eastAsia="Arial" w:hAnsi="Arial"/>
          <w:sz w:val="24"/>
          <w:szCs w:val="24"/>
        </w:rPr>
        <w:t xml:space="preserve"> -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заменителей, перечень которых для гарантийного фонда определяется Национальным банком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установленное Национальным банком отношение возможного превышения объема гарантийного портфеля к размеру собственного капитала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совокупный объем обязательств гарантийного фонда по договорам и/или соглашениям финансирования клиентов на определенную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требовать от клиента возмещения суммы, выплаченной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во исполнение обязательства по договору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 и акционеры гарантийных фондов.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термины и определения, используемые в настоящем Законе, понимаются в соответствии с их общепринятым значением в </w:t>
      </w:r>
      <w:hyperlink w:history="1" r:id="rIdl7jd7uab4lyaivikakj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законодательстве Кыргызской Республики и в международной практике, если иное не определено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hvldardbrnjizqu34ts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fralzacwzj0izys1l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ovu2d3ykoes8ck07l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Наименование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фонд должен использовать только то наименование, которое приведено в уставе организации, и использовать в наименовании слова "Гарантийный фонд".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Разграничение ответственности Кыргызской Республики, Национального банка и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Кыргызской Республики, равно как и Кыргызская Республика не отвечает по обязательствам гарантийных фондов, за исключением случаев, когда стороны добровольно принимают на себя такие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Гарантийные фонды не отвечают по обязательствам Национального банка. Национальный банк не отвечает по обязательствам гарантийных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Организационно-правовая форма гарантийных фондов. Деятельность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Создание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могут быть созданы физическими и юридическими лицами при соблюдении требований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гарантийных фондов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гарантийного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деятельности гарантийные фонды обязаны пройти процедуру учетной регистрации в Национальном банке. Порядок прохождения учетной регистрации, основания для отказа в учетной регистрации гарантийных фондов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Кандидатуры должностных лиц гарантийных фондов проходят процедуру согласования в Национальном банке. Порядок согласования и отказа в согласовании кандидатур должностных лиц гарантийных фондов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Гарантийные фонды действуют на основании устава, который должен содержать перечень предоставляемых услуг/сделок и соответствовать требованиям, установленным Национальным банком. Основным видом деятельности гарантийных фондов является предоставление гарантий по обязательствам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гарантийных фондов без учетной регистрации Национального банка запрещена.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в соответствии с </w:t>
      </w:r>
      <w:hyperlink w:history="1" r:id="rIdwx-sisyubarvzehz4e_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Юридические лица, не отвечающие требованиям, предусмотренным настоящим Законом, не вправе заниматься гарантийной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ed5krqlriujxibs2xv3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yjnyuoixuko19qfxl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6jniflcqoocxdhue7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Порядок получения разрешения на приобретение акций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Любое физическое или юридическое лицо, намеревающееся единолично или совместно с другими лицами приобрести в совокупности более 10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получения разрешения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yclsjpua3wv3vr7vml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 управления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формируют органы управления в соответствии с </w:t>
      </w:r>
      <w:hyperlink w:history="1" r:id="rIdxa0fwwa2fdv0mhagxn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с учетом особенностей, предусмотренных настоящим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акционеров - высший орган управления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- орган управления фонда, осуществляющий общее руководство обществом в период между общими собраниями акционеров. Члены совета директоров фонда избираются общим собранием акционеров в порядке, предусмотренном </w:t>
      </w:r>
      <w:hyperlink w:history="1" r:id="rIdf3a5uuunovwftr8h8us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правление - орган, осуществляющий руководство текущей деятельностью фонда. Члены правления фонда избираются советом директоров фонда в порядке, предусмотренном </w:t>
      </w:r>
      <w:hyperlink w:history="1" r:id="rIdhgfv_rvgvlktgkgla6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ревизионная комиссия - контрольный орган, осуществляющий контроль за финансово-хозяйственной деятельностью фонда. Избирается в соответствии с </w:t>
      </w:r>
      <w:hyperlink w:history="1" r:id="rIdljtxgxedsfcc_jxus5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правовой статус и компетенция органов управления гарантийных фондов регулируются законодательством Кыргызской Республики с учетом особенностей, предусмотренных нормативными правовыми актами Национального банка, уставом и внутренними нормативными документами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устанавливает требования по деятельности в гарантийных фондах обязательных комитетов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rgxrdmr4gl3qbpj76b4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Объединения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координации своей деятельности, защиты и представления общих интересов, выполнения совместных гарантий и в других аналогичных целях гарантийные фонды могут создавать ассоциации или союзы.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Гарантийным фондам запрещается использовать ассоциации либо союзы в целях установления размеров комиссионного вознаграждения, взносов или в других целях, направленных на ограничение конкуренции, монополизацию рынка и ухудшение доступа </w:t>
      </w:r>
      <w:r>
        <w:rPr>
          <w:rFonts w:ascii="Arial" w:cs="Arial" w:eastAsia="Arial" w:hAnsi="Arial"/>
          <w:sz w:val="24"/>
          <w:szCs w:val="24"/>
        </w:rPr>
        <w:t xml:space="preserve">клиентов</w:t>
      </w:r>
      <w:r>
        <w:rPr>
          <w:rFonts w:ascii="Arial" w:cs="Arial" w:eastAsia="Arial" w:hAnsi="Arial"/>
          <w:sz w:val="24"/>
          <w:szCs w:val="24"/>
        </w:rPr>
        <w:t xml:space="preserve"> к кредитным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ercm4fadgsa40q3p6ev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Филиалы и представительства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Филиалом гарантийного фонда является его обособленное подразделение, не являющееся юридическим лицом, расположенное вне места нахождения гарантийного фонда, осуществляющее все и/или часть операций на основании положения, утвержденного гарантийным фондом, и действующее в пределах полномочий, предоставленных ему гарантийным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гарантийным фондом уставный капитал, баланс, а также наименование, полностью совпадающее с наименованием гарантийного фонда,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гарантийного фонда является его обособленное подразделение, не являющееся юридическим лицом, осуществляющее защиту и представительство интересов гарантийного фонда,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Действия филиалов и/или представительств гарантийных фондов рассматриваются как действия гарантийных фондов, причем создавший их гарантийный фонд несет полную ответственность за действия филиалов и/или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открытия филиалов и представительств гарантийных фондов регулируется Гражданским </w:t>
      </w:r>
      <w:hyperlink w:history="1" r:id="rIdjtrtugr4qp3msaygbt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нормативными правовыми актами Национального банка.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Независимость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Гарантийные фонды самостоятельно организуют и осуществляют свою деятельность в пределах компетенции, предоставленной им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их должностным лицам запрещается вмешательство в любой форме в решение вопросов, связанных с деятельностью гарантийных фондов,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вознаграждения за услуги устанавливается гарантийными фондами самостоятельно в соответствии с договором и/или соглашением, с учетом особенностей, предусмотренных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vdcawkaqxyknzk_y4om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Капитал гарантийного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Собственный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и требования к собственному капиталу гарантийного фонда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Уставный капитал гарантийного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Минимальный размер уставного капитала гарантийного фонда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Доля участия каждого физического и юридического лица в уставном капитале гарантийного фонда не ограничена.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уставного капитала гарантийного фонда осуществляется в денежной форме. В состав уставного капитала входит только такой уставный капитал, по которому гарантийный фонд не имеет обязательств по возврату средств, вложенных участниками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вложенные участниками гарантийного фонда в уставный капитал гарантийного фонда, могут быть получены ими только путем продажи принадлежащих им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устанавливать гарантийному фонду ограничения или запрет на выплату дивидендов. Порядок и основания установления ограничений или запрета на выплату дивидендов устанавливаются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гарантийного фонда может формироваться за счет средств местного бюджета, добровольных взносов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формирования уставного капитала определяется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условия и порядок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Предоставление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предоставляется на часть обязательства клиента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в соответствии с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cqbkvrq5-jaoamo1ah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affufzjz8y2-kykwk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условия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ответственности гарантийного фонда по заключенным договорам и/или соглашениям предоставления гарантии не должен превышать 50 процентов от объема основных обязательств (основной суммы финансирования) клиента перед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Максимальный размер гарантии на одно лицо или группу связанных лиц определяется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механизм предоставления гарантий определяются соответствующим уполномоченным органом гарантийного фонда, предусмотренным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Гарантии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мультипликатора устанавливается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8r2ae1fr4dqrd9_tx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eil1yjebzpxtdnuch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обязательства, часть которого обеспечена гарантией, определяется политикой предоставления гарантий, соглашением о сотрудничестве с финансово-кредитными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/международными финансовыми организациями</w:t>
      </w:r>
      <w:r>
        <w:rPr>
          <w:rFonts w:ascii="Arial" w:cs="Arial" w:eastAsia="Arial" w:hAnsi="Arial"/>
          <w:sz w:val="24"/>
          <w:szCs w:val="24"/>
        </w:rPr>
        <w:t xml:space="preserve"> и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исполнение обязательств клиента по финансированию в части уплаты процентов, неустойки, штрафа, пеней, комиссионных.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организацией/международной финансовой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организацией/международной финансовой организацией необходимых мер по взысканию задолженности, предусмотренных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предоставления полного пакета документов по реализации финансово-кредитной организацией/международной финансовой организацией необходимых мер по взысканию задолженности, перечень которых определен политикой предоставления гарантий, гарантийный фонд исполняет требования по гарантии в порядке и на условиях заключенного соглашения о сотрудничестве с финансово-кредитной организацией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исполнения гарантийным фондом требований, предусмотренных настоящей статьей, гарантийный фонд приобретает в регрессном порядке право требования к клиенту по возмещению суммы, выплаченной гарантийным фондом финансово-кредитной организации</w:t>
      </w:r>
      <w:r>
        <w:rPr>
          <w:rFonts w:ascii="Arial" w:cs="Arial" w:eastAsia="Arial" w:hAnsi="Arial"/>
          <w:sz w:val="24"/>
          <w:szCs w:val="24"/>
        </w:rPr>
        <w:t xml:space="preserve">/международной 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по договору финансирования в объеме исполненных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tclsghxsf8vxi22o_r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fyfdye4hjfr2ekpmu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Регулирование и надзор за деятельностью гарантийных фондов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Уполномоченный орган по регулированию и надзору за деятельностью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является уполномоченным органом по регулированию и надзору за деятельностью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принимает нормативные правовые акты по регистрации гарантийных фондов, регулированию и надзору за деятельностью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вправе устанавливать экономические нормативы, в том числе коэффициент мультипликатора, обязательные для исполнения гарантийными фондами, проверять деятельность гарантийных фондов, применять меры воздействия, предусмотренные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Виды, размеры экономических нормативов, требований, ограничений и методики их расчетов определяются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осуществляет проверку деятельности гарантийных фондов на основании требований и условий, установленных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Гарантийные фонды, участники гарантийных фондов, должностные лица и другие работники гарантийного фонда обязаны своевременно представлять отчеты, документы и любую другую информацию по требованию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Любые сведения, полученные гарантийными фондами в рамках взаимодействия с клиентами при выдаче гарантий или иным образом в связи с взаимоотношением гарантийного фонда с клиентом либо созданные гарантийным фондом, являются сведениями, относящимися к банковской тайне, и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ji_zcbrbbhnkhpxfnt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деятельностью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осуществляет регулирование и надзор за деятельностью гарантийных фондов путем проведения внешнего надзора и инспекторских проверок на местах.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Учет и отчетность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обязан вести учет и отчетность в соответствии с законодательством Кыргызской Республики о бухгалтерском учете, международными стандартами финансовой отчетности и учетной политикой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гарантийного фонда должна включать в себя общие принципы бухгалтерского учета, методы и правила организации бухгалтерского учета. Если осуществляется надзор за финансовой группой, гарантийный фонд должен сформировать общую (консолидированную) учетную политику группы с учетом требований Национального банка. Национальный банк вправе устанавливать случаи неприменения требований консолидированного надзора 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Гарантийный фонд обязан обеспечивать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основных документов, подлежащих хранению, и сроки их хранения устанавливаются законодательством Кыргызской Республики в сфере архивного 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гарантийному фонду по организации и функционированию системы внутреннего контроля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Аудит гарантийных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гарантийного фонда подлежит ежегодной внешней аудиторской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проведению внешнего аудита и к аудиторской организации устанавливаются Национальным банком.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Резервы, создаваемые гарантийным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покрытия убытков, связанных с осуществлением гарантийной деятельности, гарантийный фонд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регулятивных целях вправе определять размер, порядок формирования и методы расчета резервов, создаваемых гарантийным фондом на случай покрытия убытков по активам, несущим кредитные и иные риски, относимых на затраты гарантийным фондом.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Меры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применяет меры воздействия к гарантийному фонду и его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Национальным банком мер воздействия являются оперативное реагирование, корректировка и устранение проблем для поддержания стабильности и устойчивости гарантийных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 применяются Национальным банком по основаниям в случаях и порядке, которые предусмотрены законодательством Кыргызской Республики в сфере Национального банка, банков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самостоятельно определяет целесообразность, виды мер воздействия и порядок применения мер воздействия к гарантийному фонду и их должностным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устанавливает признаки нездоровой и небезопасной деятельности гарантийных фондов и определяет причастность к ней гарантийных фондов и 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публикует информацию о принятых мерах воздействия в отношении гарантийных фондов, а также о любом изменении или прекращении таких мер, кроме случаев, когда публикация может нанести ущерб интересам кредиторов гарантийного фонда, стабильности, безопасности и целостности финансовой системы Кыргызской Республики, а также других случаев, установленных нормативными правовыми актами Национального банка. Сроки и порядок опубликования указанной информации устанавливаются Национальным банком. Публикация подобной информации не является раскрытием банковской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Национального банка о применении к гарантийному фонду мер воздействия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вправе требовать и получать любую информацию, которая находится в распоряжении гарантийного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исполнения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Реорганизация и/или ликвидация гарантийных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может быть реорганизован (слияние, присоединение, разделение, выделение), ликвидирован при соблюдении требований, установленных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активы гарантийного фонда подлежат распределению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2g3bci5b9nxmfy1s_9z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апреля 2019 года N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Гарантийным фондам Кыргызской Республики в шестимесячный срок со дня вступления в силу настоящего Закона привести свою деятельность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irl9rq2-kht8bfpwh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 30 июля 2013 года № 167 (Ведомости Жогорку Кенеша Кыргызской Республики, 2013 г., № 7, ст.924);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qnzpy0hjpyi6aklgj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rf-upbcm-7dsljagi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от 26 октября 2016 года № 172 (Ведомости Жогорку Кенеша Кыргызской Республики, 2016 г., № 9, ст.949).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irod_9n1gahu2nwh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dalil.kg/document/111890</w:t>
      </w:r>
    </w:hyperlink>
  </w:p>
  <w:p>
    <w:pPr>
      <w:spacing w:after="0" w:before="40"/>
      <w:jc w:val="center"/>
    </w:pPr>
    <w:hyperlink w:history="1" r:id="rIdunqutwynbm8ctjeuz1r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7-gzqvccvy1t3h_yagp" Type="http://schemas.openxmlformats.org/officeDocument/2006/relationships/hyperlink" Target="https://dalil.kg/document/112422" TargetMode="External"/><Relationship Id="rIdvfft8w5khacwkd1urqaja" Type="http://schemas.openxmlformats.org/officeDocument/2006/relationships/hyperlink" Target="https://dalil.kg/document/230004823" TargetMode="External"/><Relationship Id="rIdlqrax8t45d2b-zihekgfc" Type="http://schemas.openxmlformats.org/officeDocument/2006/relationships/hyperlink" Target="https://dalil.kg/document/230021352" TargetMode="External"/><Relationship Id="rIdkdxzbxmmw6sd8qus3rv7r" Type="http://schemas.openxmlformats.org/officeDocument/2006/relationships/hyperlink" Target="https://dalil.kg/document/230021352" TargetMode="External"/><Relationship Id="rIdlom5i6xh70hxnt78xdvaf" Type="http://schemas.openxmlformats.org/officeDocument/2006/relationships/hyperlink" Target="https://dalil.kg/document/230021352" TargetMode="External"/><Relationship Id="rIdl7jd7uab4lyaivikakj28" Type="http://schemas.openxmlformats.org/officeDocument/2006/relationships/hyperlink" Target="https://dalil.kg/document/112428" TargetMode="External"/><Relationship Id="rIdhvldardbrnjizqu34tsbp" Type="http://schemas.openxmlformats.org/officeDocument/2006/relationships/hyperlink" Target="https://dalil.kg/document/112422" TargetMode="External"/><Relationship Id="rId-ufralzacwzj0izys1loy" Type="http://schemas.openxmlformats.org/officeDocument/2006/relationships/hyperlink" Target="https://dalil.kg/document/230004823" TargetMode="External"/><Relationship Id="rIdszovu2d3ykoes8ck07l7x" Type="http://schemas.openxmlformats.org/officeDocument/2006/relationships/hyperlink" Target="https://dalil.kg/document/230021352" TargetMode="External"/><Relationship Id="rIdwx-sisyubarvzehz4e_wg" Type="http://schemas.openxmlformats.org/officeDocument/2006/relationships/hyperlink" Target="https://dalil.kg/document/112422" TargetMode="External"/><Relationship Id="rIded5krqlriujxibs2xv3zo" Type="http://schemas.openxmlformats.org/officeDocument/2006/relationships/hyperlink" Target="https://dalil.kg/document/112422" TargetMode="External"/><Relationship Id="rId7eyjnyuoixuko19qfxl0k" Type="http://schemas.openxmlformats.org/officeDocument/2006/relationships/hyperlink" Target="https://dalil.kg/document/230004823" TargetMode="External"/><Relationship Id="rIdvb6jniflcqoocxdhue7lx" Type="http://schemas.openxmlformats.org/officeDocument/2006/relationships/hyperlink" Target="https://dalil.kg/document/230021352" TargetMode="External"/><Relationship Id="rIddyclsjpua3wv3vr7vmlay" Type="http://schemas.openxmlformats.org/officeDocument/2006/relationships/hyperlink" Target="https://dalil.kg/document/112422" TargetMode="External"/><Relationship Id="rIdxa0fwwa2fdv0mhagxnmmg" Type="http://schemas.openxmlformats.org/officeDocument/2006/relationships/hyperlink" Target="https://dalil.kg/document/1188" TargetMode="External"/><Relationship Id="rIdf3a5uuunovwftr8h8ushh" Type="http://schemas.openxmlformats.org/officeDocument/2006/relationships/hyperlink" Target="https://dalil.kg/document/1188" TargetMode="External"/><Relationship Id="rIdhgfv_rvgvlktgkgla66to" Type="http://schemas.openxmlformats.org/officeDocument/2006/relationships/hyperlink" Target="https://dalil.kg/document/1188" TargetMode="External"/><Relationship Id="rIdljtxgxedsfcc_jxus5bkp" Type="http://schemas.openxmlformats.org/officeDocument/2006/relationships/hyperlink" Target="https://dalil.kg/document/1188" TargetMode="External"/><Relationship Id="rIdrgxrdmr4gl3qbpj76b4nh" Type="http://schemas.openxmlformats.org/officeDocument/2006/relationships/hyperlink" Target="https://dalil.kg/document/112422" TargetMode="External"/><Relationship Id="rIdercm4fadgsa40q3p6evxs" Type="http://schemas.openxmlformats.org/officeDocument/2006/relationships/hyperlink" Target="https://dalil.kg/document/112422" TargetMode="External"/><Relationship Id="rIdjtrtugr4qp3msaygbtn3x" Type="http://schemas.openxmlformats.org/officeDocument/2006/relationships/hyperlink" Target="https://dalil.kg/document/4" TargetMode="External"/><Relationship Id="rIdvdcawkaqxyknzk_y4ombf" Type="http://schemas.openxmlformats.org/officeDocument/2006/relationships/hyperlink" Target="https://dalil.kg/document/112422" TargetMode="External"/><Relationship Id="rIdmcqbkvrq5-jaoamo1ahup" Type="http://schemas.openxmlformats.org/officeDocument/2006/relationships/hyperlink" Target="https://dalil.kg/document/112422" TargetMode="External"/><Relationship Id="rIdulaffufzjz8y2-kykwktk" Type="http://schemas.openxmlformats.org/officeDocument/2006/relationships/hyperlink" Target="https://dalil.kg/document/230021352" TargetMode="External"/><Relationship Id="rIdlh8r2ae1fr4dqrd9_tx6s" Type="http://schemas.openxmlformats.org/officeDocument/2006/relationships/hyperlink" Target="https://dalil.kg/document/112422" TargetMode="External"/><Relationship Id="rIdxqeil1yjebzpxtdnuchzp" Type="http://schemas.openxmlformats.org/officeDocument/2006/relationships/hyperlink" Target="https://dalil.kg/document/230021352" TargetMode="External"/><Relationship Id="rIdttclsghxsf8vxi22o_rkz" Type="http://schemas.openxmlformats.org/officeDocument/2006/relationships/hyperlink" Target="https://dalil.kg/document/112422" TargetMode="External"/><Relationship Id="rIda_fyfdye4hjfr2ekpmuvq" Type="http://schemas.openxmlformats.org/officeDocument/2006/relationships/hyperlink" Target="https://dalil.kg/document/230021352" TargetMode="External"/><Relationship Id="rIdpji_zcbrbbhnkhpxfntue" Type="http://schemas.openxmlformats.org/officeDocument/2006/relationships/hyperlink" Target="https://dalil.kg/document/112422" TargetMode="External"/><Relationship Id="rId2g3bci5b9nxmfy1s_9z4o" Type="http://schemas.openxmlformats.org/officeDocument/2006/relationships/hyperlink" Target="https://dalil.kg/document/112422" TargetMode="External"/><Relationship Id="rIdoirl9rq2-kht8bfpwhqgi" Type="http://schemas.openxmlformats.org/officeDocument/2006/relationships/hyperlink" Target="https://dalil.kg/document/203976" TargetMode="External"/><Relationship Id="rIdhqnzpy0hjpyi6aklgjvlf" Type="http://schemas.openxmlformats.org/officeDocument/2006/relationships/hyperlink" Target="https://dalil.kg/document/111451" TargetMode="External"/><Relationship Id="rIdyrf-upbcm-7dsljagirkw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irod_9n1gahu2nwhhfa" Type="http://schemas.openxmlformats.org/officeDocument/2006/relationships/hyperlink" Target="https://dalil.kg/document/111890" TargetMode="External"/><Relationship Id="rIdunqutwynbm8ctjeuz1r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2026-09-23T23:21:55.039Z</dcterms:created>
  <dcterms:modified xsi:type="dcterms:W3CDTF">2026-09-23T23:21:55.039Z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