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122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чистого воздуха и совершенствования налогового администрирования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6i7azosmwu2v1gy8tt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v5hh-iy3zz4wnock_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1u9vre-tpjqfdo1ccjh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spc-_g9k1iwostfdzs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dv-pgadgfqxxait1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г.. № 7, ст. 911) следующее изменение:</w:t>
      </w:r>
    </w:p>
    <w:p>
      <w:pPr>
        <w:spacing w:after="120"/>
        <w:ind w:firstLine="397"/>
        <w:jc w:val="both"/>
      </w:pPr>
      <w:hyperlink w:history="1" r:id="rIdtxxv3dmfbzitic7u0p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электромобиль</w:t>
      </w:r>
      <w:r>
        <w:rPr>
          <w:rFonts w:ascii="Arial" w:cs="Arial" w:eastAsia="Arial" w:hAnsi="Arial"/>
          <w:sz w:val="24"/>
          <w:szCs w:val="24"/>
        </w:rPr>
        <w:t xml:space="preserve"> - автомобиль, приводимый в движение одним или несколькими электродвигателями с питанием от независимого источника электроэнергии (аккумуляторы, топливные элементы, конденсаторы и т.п.), без двигателя внутреннего сгорания.».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m4zuv4tgnabpbaskn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движении в Кыргызской Республике» (Ведомости Жогорку Кенеша Кыргызской Республики. 1998 г.. № 8, ст. 248)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</w:t>
      </w:r>
      <w:hyperlink w:history="1" r:id="rIdshqe3f2plc8_vlbldq7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«Диагностические центры проводят технический осмотр транспортных средств согласно требованиям, указанным в нормативных правовых актах Кыргызской Республики и технических регламентах. Выданные диагностическими центрами положительные заключения должны подтверждать, что транспортное средство полностью отвечает всем требованиям, не имеет отклонений, не загрязняет воздух и полностью готово к эксплуатации.».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статьи 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2020 года № 65(3137)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 настоящего Закона вступает в силу с первого числа следующего налогового периода, не ранее 2 месяцев после его официального опубликования, если законами Кыргызской Республики не установлен иной порядок вступления ее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i7azosmwu2v1gy8ttyw" Type="http://schemas.openxmlformats.org/officeDocument/2006/relationships/hyperlink" Target="http://kodeks.duckdns.org/document/112305" TargetMode="External"/><Relationship Id="rIdyhv5hh-iy3zz4wnock_z9" Type="http://schemas.openxmlformats.org/officeDocument/2006/relationships/hyperlink" Target="http://kodeks.duckdns.org/document/112342" TargetMode="External"/><Relationship Id="rId1u9vre-tpjqfdo1ccjhwo" Type="http://schemas.openxmlformats.org/officeDocument/2006/relationships/hyperlink" Target="http://kodeks.duckdns.org/document/112342" TargetMode="External"/><Relationship Id="rIdzspc-_g9k1iwostfdzsvs" Type="http://schemas.openxmlformats.org/officeDocument/2006/relationships/hyperlink" Target="http://kodeks.duckdns.org/document/112305" TargetMode="External"/><Relationship Id="rIdabdv-pgadgfqxxait1osn" Type="http://schemas.openxmlformats.org/officeDocument/2006/relationships/hyperlink" Target="http://kodeks.duckdns.org/document/203963" TargetMode="External"/><Relationship Id="rIdtxxv3dmfbzitic7u0pbur" Type="http://schemas.openxmlformats.org/officeDocument/2006/relationships/hyperlink" Target="http://kodeks.duckdns.org/document/203963#st_3" TargetMode="External"/><Relationship Id="rIdsgm4zuv4tgnabpbaskn6i" Type="http://schemas.openxmlformats.org/officeDocument/2006/relationships/hyperlink" Target="http://kodeks.duckdns.org/document/60" TargetMode="External"/><Relationship Id="rIdshqe3f2plc8_vlbldq70u" Type="http://schemas.openxmlformats.org/officeDocument/2006/relationships/hyperlink" Target="http://kodeks.duckdns.org/document/60#st_1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2026-09-22T23:46:09.631Z</dcterms:created>
  <dcterms:modified xsi:type="dcterms:W3CDTF">2026-09-22T23:46:09.631Z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