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_n6ovky2jge1fniqoq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обеспечении пожарной безопасности"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мая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wt8ko8hahzslkthgf5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 (Ведомости Жогорку Кенеша Кыргызской Республики, 2016 г., № 6, ст.527)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ap6fwvjyb38r1lk6i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nejirlzbsvrissbd4t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66</w:t>
        </w:r>
      </w:hyperlink>
      <w:r>
        <w:rPr>
          <w:rFonts w:ascii="Arial" w:cs="Arial" w:eastAsia="Arial" w:hAnsi="Arial"/>
          <w:sz w:val="24"/>
          <w:szCs w:val="24"/>
        </w:rPr>
        <w:t xml:space="preserve">. Проходы, проезды и подъезды к зданиям и сооружениям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объектов строительства независимо от их функциональных назначений необходимо предусматривать проходы, проезды и подъезды для пожарных автомобилей к объектам строительства согласно нормативно-техническим документам и градостроительной документации.";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1 </w:t>
      </w:r>
      <w:hyperlink w:history="1" r:id="rIdrrfgzqx2cqhhmaey3h3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faapzl8xod6s22bpmx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gmzahycaytl8rhanl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75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ограничению распространения пожара в зданиях, сооружениях, пожарных отсеках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Части зданий, сооружений, пожарных отсеков, а также помещения различных классов функциональной пожарной опасности должны быть разделены между собой ограждающими конструкциями, устройствами и установками с нормируемыми пределами огнестойкости и классами конструктивной пожарной опасности или противопожарными преградами.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таким ограждающим конструкциям, устройствам и установкам, типам противопожарных преград устанавливаются с учетом функциональной пожарной опасности помещений, величины пожарной нагрузки, степени огнестойкости и класса конструктивной пожарной опасности здания, сооружения, пожарного отсека и должны соответствовать требованиям настоящего Закона, соответствующих нормативных правовых актов в области пожарном безопасности, строительных норм и правил, а также национальных стандартов, утвержденных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Пределы огнестойкости и типы строительных конструкций, выполняющих функции противопожарных преград, соответствующие им типы заполнения проемов и тамбур-шлюзов определяются соответствующими строительными нормами и правилами, национальными стандартами, утвержденными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Пределы огнестойкости для соответствующих типов заполнения проемов в противопожарных преградах определяются согласно требованиям национальных стандартов, утвержденных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зданиях, оборудованных системами автоматической пожарной сигнализации или тушения, лифты должны иметь блокировку и автоматически опускаться при пожаре на 1 этаж, двери должны открываться и не закрываться.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Объемно-планировочные решения и конструктивное исполнение лестниц и лестничных клеток должны обеспечивать безопасную эвакуацию людей из зданий при пожаре и препятствовать распространению пожара между этажами.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цокольных и подземных этажах зданий и сооружений вход в лифт должен осуществляться через тамбур-шлюзы 1 типа с подпором воздуха при пожаре.";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абзацы четвертый-седьмой части 1 </w:t>
      </w:r>
      <w:hyperlink w:history="1" r:id="rIdp3ijpcymhqu-sfwb5w3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2020 года № 51 (3123)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id6v7m3vuixac6ox0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dalil.kg/document/112084</w:t>
      </w:r>
    </w:hyperlink>
  </w:p>
  <w:p>
    <w:pPr>
      <w:spacing w:after="0" w:before="40"/>
      <w:jc w:val="center"/>
    </w:pPr>
    <w:hyperlink w:history="1" r:id="rIdtvmi36x7ekpcfsv_sri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n6ovky2jge1fniqoqvo" Type="http://schemas.openxmlformats.org/officeDocument/2006/relationships/hyperlink" Target="https://dalil.kg/document/112454" TargetMode="External"/><Relationship Id="rIdrwt8ko8hahzslkthgf59n" Type="http://schemas.openxmlformats.org/officeDocument/2006/relationships/hyperlink" Target="https://dalil.kg/document/111357" TargetMode="External"/><Relationship Id="rIdmap6fwvjyb38r1lk6iubj" Type="http://schemas.openxmlformats.org/officeDocument/2006/relationships/hyperlink" Target="https://dalil.kg/document/111357#st_66" TargetMode="External"/><Relationship Id="rIdbnejirlzbsvrissbd4tdw" Type="http://schemas.openxmlformats.org/officeDocument/2006/relationships/hyperlink" Target="https://dalil.kg/document/111357#st_66" TargetMode="External"/><Relationship Id="rIdrrfgzqx2cqhhmaey3h3qp" Type="http://schemas.openxmlformats.org/officeDocument/2006/relationships/hyperlink" Target="https://dalil.kg/document/111357#st_74" TargetMode="External"/><Relationship Id="rIdqfaapzl8xod6s22bpmxx3" Type="http://schemas.openxmlformats.org/officeDocument/2006/relationships/hyperlink" Target="https://dalil.kg/document/111357#st_75" TargetMode="External"/><Relationship Id="rIdagmzahycaytl8rhanlvzg" Type="http://schemas.openxmlformats.org/officeDocument/2006/relationships/hyperlink" Target="https://dalil.kg/document/111357#st_75" TargetMode="External"/><Relationship Id="rIdp3ijpcymhqu-sfwb5w3qo" Type="http://schemas.openxmlformats.org/officeDocument/2006/relationships/hyperlink" Target="https://dalil.kg/document/111357#st_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id6v7m3vuixac6ox0ip" Type="http://schemas.openxmlformats.org/officeDocument/2006/relationships/hyperlink" Target="https://dalil.kg/document/112084" TargetMode="External"/><Relationship Id="rIdtvmi36x7ekpcfsv_sri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2026-09-23T22:18:36.023Z</dcterms:created>
  <dcterms:modified xsi:type="dcterms:W3CDTF">2026-09-23T22:18:36.023Z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