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КОНСТИТУЦИОННЫЙ ЗАКОН КЫРГЫЗСКОЙ РЕСПУБЛИКИ</w:t>
      </w:r>
    </w:p>
    <w:p>
      <w:pPr>
        <w:spacing w:after="200" w:before="200"/>
        <w:jc w:val="both"/>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от 11 ноября 2020 года № 2</w:t>
      </w:r>
    </w:p>
    <w:p>
      <w:pPr>
        <w:spacing w:after="400" w:before="400"/>
        <w:jc w:val="center"/>
      </w:pPr>
      <w:r>
        <w:rPr>
          <w:rFonts w:ascii="Arial" w:cs="Arial" w:eastAsia="Arial" w:hAnsi="Arial"/>
          <w:b/>
          <w:bCs/>
          <w:sz w:val="28"/>
          <w:szCs w:val="28"/>
        </w:rPr>
        <w:t xml:space="preserve">О внесении изменений в конституционный Закон Кыргызской Республики "О выборах Президента Кыргызской Республики и депутатов Жогорку Кенеша Кыргызской Республики"</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xkhiycuqlvkn-pghsynes">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(Ведомости Жогорку Кенеша Кыргызской Республики, 2011 г., № 7, ст.971) следующие изменения:</w:t>
      </w:r>
    </w:p>
    <w:p>
      <w:pPr>
        <w:spacing w:after="60"/>
        <w:ind w:firstLine="567"/>
        <w:jc w:val="both"/>
      </w:pPr>
      <w:r>
        <w:rPr>
          <w:rFonts w:ascii="Arial" w:cs="Arial" w:eastAsia="Arial" w:hAnsi="Arial"/>
          <w:sz w:val="24"/>
          <w:szCs w:val="24"/>
        </w:rPr>
        <w:t xml:space="preserve">1) часть 6 </w:t>
      </w:r>
      <w:hyperlink w:history="1" r:id="rId6dkqao3ri4pms3ztlqq0c">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"6. Сведения об избирателях, проживающих и находящихся за пределами Кыргызской Республики, вставших на консульский (временный консульский) учет и прошедших биометрическую регистрацию, составляются руководителями соответствующих дипломатических представительств и консульских учреждений, передаются через государственный орган, ведающий вопросами иностранных дел, в Центральную избирательную комиссию не позднее 85 календарных дней до дня голосования.</w:t>
      </w:r>
    </w:p>
    <w:p>
      <w:pPr>
        <w:spacing w:after="60"/>
        <w:ind w:firstLine="567"/>
        <w:jc w:val="both"/>
      </w:pPr>
      <w:r>
        <w:rPr>
          <w:rFonts w:ascii="Arial" w:cs="Arial" w:eastAsia="Arial" w:hAnsi="Arial"/>
          <w:sz w:val="24"/>
          <w:szCs w:val="24"/>
        </w:rPr>
        <w:t xml:space="preserve">Форма, вид и порядок представления сведений об избирателях, проживающих или находящихся за пределами Кыргызской Республики и вставших на консульский (временный консульский) учет, определяются Центральной избирательной комиссией по согласованию с государственным органом, ведающим вопросами иностранных дел.</w:t>
      </w:r>
    </w:p>
    <w:p>
      <w:pPr>
        <w:spacing w:after="60"/>
        <w:ind w:firstLine="567"/>
        <w:jc w:val="both"/>
      </w:pPr>
      <w:r>
        <w:rPr>
          <w:rFonts w:ascii="Arial" w:cs="Arial" w:eastAsia="Arial" w:hAnsi="Arial"/>
          <w:sz w:val="24"/>
          <w:szCs w:val="24"/>
        </w:rPr>
        <w:t xml:space="preserve">Избиратель, проживающий или находящийся за пределами Кыргызской Республики в день голосования, вправе заявить о намерении голосовать по избирательному адресу места проживания или пребывания путем подачи заявления в порядке, установленном </w:t>
      </w:r>
      <w:hyperlink w:history="1" r:id="rId5jxglgjqxlkg9kqn3hbyi">
        <w:r>
          <w:rPr>
            <w:rFonts w:ascii="Arial" w:cs="Arial" w:eastAsia="Arial" w:hAnsi="Arial"/>
            <w:color w:val="1D4ED8"/>
            <w:sz w:val="24"/>
            <w:szCs w:val="24"/>
            <w:u w:val="single"/>
          </w:rPr>
          <w:t xml:space="preserve">статьей 15</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2) часть 3 </w:t>
      </w:r>
      <w:hyperlink w:history="1" r:id="rIdq4sqytpm1vrz9ewhp4ymm">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"3. Каждый избиратель, проживающий или находящийся за пределами Кыргызской Республики в день голосования, с момента ознакомления со списком избирателей, но не позднее 15 календарных дней до дня голосования, вправе заявить о намерении голосовать по избирательному адресу путем подачи в дипломатическое представительство или консульское учреждение Кыргызской Республики заявления установленного образца с приложением копии паспорта гражданина Кыргызской Республики, а при его отсутствии - копии общегражданского паспорта гражданина Кыргызской Республики, служебного или дипломатического паспорта. При этом избиратель проходит биометрическую идентификацию.</w:t>
      </w:r>
    </w:p>
    <w:p>
      <w:pPr>
        <w:spacing w:after="60"/>
        <w:ind w:firstLine="567"/>
        <w:jc w:val="both"/>
      </w:pPr>
      <w:r>
        <w:rPr>
          <w:rFonts w:ascii="Arial" w:cs="Arial" w:eastAsia="Arial" w:hAnsi="Arial"/>
          <w:sz w:val="24"/>
          <w:szCs w:val="24"/>
        </w:rPr>
        <w:t xml:space="preserve">Дипломатическое представительство или консульское учреждение Кыргызской Республики с момента поступления заявления избирателя о намерении голосовать по избирательному адресу места нахождения или пребывания регистрирует избирателя в качестве лица, вставшего на временный консульский учет на безвозмездной основе. Такая регистрация производится на срок, указанный в заявлении избирателя.</w:t>
      </w:r>
    </w:p>
    <w:p>
      <w:pPr>
        <w:spacing w:after="60"/>
        <w:ind w:firstLine="567"/>
        <w:jc w:val="both"/>
      </w:pPr>
      <w:r>
        <w:rPr>
          <w:rFonts w:ascii="Arial" w:cs="Arial" w:eastAsia="Arial" w:hAnsi="Arial"/>
          <w:sz w:val="24"/>
          <w:szCs w:val="24"/>
        </w:rPr>
        <w:t xml:space="preserve">После приема заявления дипломатическое представительство или консульское учреждение Кыргызской Республики незамедлительно передает его в Центральную избирательную комиссию для принятия соответствующих мер по изменению избирательного адреса.</w:t>
      </w:r>
    </w:p>
    <w:p>
      <w:pPr>
        <w:spacing w:after="60"/>
        <w:ind w:firstLine="567"/>
        <w:jc w:val="both"/>
      </w:pPr>
      <w:r>
        <w:rPr>
          <w:rFonts w:ascii="Arial" w:cs="Arial" w:eastAsia="Arial" w:hAnsi="Arial"/>
          <w:sz w:val="24"/>
          <w:szCs w:val="24"/>
        </w:rPr>
        <w:t xml:space="preserve">Избиратель также вправе подать заявление в электронном виде через сервис "кабинет избирателя" на государственном портале с прохождением авторизации в установленном законодательством порядке.</w:t>
      </w:r>
    </w:p>
    <w:p>
      <w:pPr>
        <w:spacing w:after="60"/>
        <w:ind w:firstLine="567"/>
        <w:jc w:val="both"/>
      </w:pPr>
      <w:r>
        <w:rPr>
          <w:rFonts w:ascii="Arial" w:cs="Arial" w:eastAsia="Arial" w:hAnsi="Arial"/>
          <w:sz w:val="24"/>
          <w:szCs w:val="24"/>
        </w:rPr>
        <w:t xml:space="preserve">Избиратель за предоставление заведомо недостоверных сведений несет ответственность, предусмотренную законодательством.</w:t>
      </w:r>
    </w:p>
    <w:p>
      <w:pPr>
        <w:spacing w:after="60"/>
        <w:ind w:firstLine="567"/>
        <w:jc w:val="both"/>
      </w:pPr>
      <w:r>
        <w:rPr>
          <w:rFonts w:ascii="Arial" w:cs="Arial" w:eastAsia="Arial" w:hAnsi="Arial"/>
          <w:sz w:val="24"/>
          <w:szCs w:val="24"/>
        </w:rPr>
        <w:t xml:space="preserve">Дипломатические представительства или консульские учреждения Кыргызской Республики ведут учет поступивших заявлений избирателей об изменении избирательного адреса.";</w:t>
      </w:r>
    </w:p>
    <w:p>
      <w:pPr>
        <w:spacing w:after="60"/>
        <w:ind w:firstLine="567"/>
        <w:jc w:val="both"/>
      </w:pPr>
      <w:r>
        <w:rPr>
          <w:rFonts w:ascii="Arial" w:cs="Arial" w:eastAsia="Arial" w:hAnsi="Arial"/>
          <w:sz w:val="24"/>
          <w:szCs w:val="24"/>
        </w:rPr>
        <w:t xml:space="preserve">3) в </w:t>
      </w:r>
      <w:hyperlink w:history="1" r:id="rId878elgdom7i4bs0av9i0x">
        <w:r>
          <w:rPr>
            <w:rFonts w:ascii="Arial" w:cs="Arial" w:eastAsia="Arial" w:hAnsi="Arial"/>
            <w:color w:val="1D4ED8"/>
            <w:sz w:val="24"/>
            <w:szCs w:val="24"/>
            <w:u w:val="single"/>
          </w:rPr>
          <w:t xml:space="preserve">статье 41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10 изложить в следующей редакции:</w:t>
      </w:r>
    </w:p>
    <w:p>
      <w:pPr>
        <w:spacing w:after="60"/>
        <w:ind w:firstLine="567"/>
        <w:jc w:val="both"/>
      </w:pPr>
      <w:r>
        <w:rPr>
          <w:rFonts w:ascii="Arial" w:cs="Arial" w:eastAsia="Arial" w:hAnsi="Arial"/>
          <w:sz w:val="24"/>
          <w:szCs w:val="24"/>
        </w:rPr>
        <w:t xml:space="preserve">"10. Граждане и юридические лица вправе оказывать финансовую (материальную) поддержку деятельности, способствующей избранию кандидата, списка кандидатов, только через избирательные фонды. Запрещаются бесплатное выполнение или выполнение по необоснованно заниженным расценкам работ, услуг, реализация товаров, прямо или косвенно связанных с выборами юридическими лицами, их филиалами, представительствами, а также физическими лицами. Уполномоченные представители, доверенные лица, наблюдатели, представители кандидатов, политических партий в избирательных комиссиях вправе осуществлять свои полномочия, выполнять работы и услуги, прямо или косвенно связанные с выборами, на безвозмездной основе.";</w:t>
      </w:r>
    </w:p>
    <w:p>
      <w:pPr>
        <w:spacing w:after="60"/>
        <w:ind w:firstLine="567"/>
        <w:jc w:val="both"/>
      </w:pPr>
      <w:r>
        <w:rPr>
          <w:rFonts w:ascii="Arial" w:cs="Arial" w:eastAsia="Arial" w:hAnsi="Arial"/>
          <w:sz w:val="24"/>
          <w:szCs w:val="24"/>
        </w:rPr>
        <w:t xml:space="preserve">б) в пункте 1 части 16 слова "5 процентов" заменить словами "1 процента";</w:t>
      </w:r>
    </w:p>
    <w:p>
      <w:pPr>
        <w:spacing w:after="60"/>
        <w:ind w:firstLine="567"/>
        <w:jc w:val="both"/>
      </w:pPr>
      <w:r>
        <w:rPr>
          <w:rFonts w:ascii="Arial" w:cs="Arial" w:eastAsia="Arial" w:hAnsi="Arial"/>
          <w:sz w:val="24"/>
          <w:szCs w:val="24"/>
        </w:rPr>
        <w:t xml:space="preserve">4) в части 2 </w:t>
      </w:r>
      <w:hyperlink w:history="1" r:id="rIdu3mhlpky3v2j2asli1sle">
        <w:r>
          <w:rPr>
            <w:rFonts w:ascii="Arial" w:cs="Arial" w:eastAsia="Arial" w:hAnsi="Arial"/>
            <w:color w:val="1D4ED8"/>
            <w:sz w:val="24"/>
            <w:szCs w:val="24"/>
            <w:u w:val="single"/>
          </w:rPr>
          <w:t xml:space="preserve">статьи 61</w:t>
        </w:r>
      </w:hyperlink>
      <w:r>
        <w:rPr>
          <w:rFonts w:ascii="Arial" w:cs="Arial" w:eastAsia="Arial" w:hAnsi="Arial"/>
          <w:sz w:val="24"/>
          <w:szCs w:val="24"/>
        </w:rPr>
        <w:t xml:space="preserve"> слово "пятидесятитысячекратном" заменить словом "десятитысячекратном";</w:t>
      </w:r>
    </w:p>
    <w:p>
      <w:pPr>
        <w:spacing w:after="60"/>
        <w:ind w:firstLine="567"/>
        <w:jc w:val="both"/>
      </w:pPr>
      <w:r>
        <w:rPr>
          <w:rFonts w:ascii="Arial" w:cs="Arial" w:eastAsia="Arial" w:hAnsi="Arial"/>
          <w:sz w:val="24"/>
          <w:szCs w:val="24"/>
        </w:rPr>
        <w:t xml:space="preserve">5) в части 2, абзаце первом части 3 </w:t>
      </w:r>
      <w:hyperlink w:history="1" r:id="rIdx5gkamozmw-uhwimw36ah">
        <w:r>
          <w:rPr>
            <w:rFonts w:ascii="Arial" w:cs="Arial" w:eastAsia="Arial" w:hAnsi="Arial"/>
            <w:color w:val="1D4ED8"/>
            <w:sz w:val="24"/>
            <w:szCs w:val="24"/>
            <w:u w:val="single"/>
          </w:rPr>
          <w:t xml:space="preserve">статьи 64</w:t>
        </w:r>
      </w:hyperlink>
      <w:r>
        <w:rPr>
          <w:rFonts w:ascii="Arial" w:cs="Arial" w:eastAsia="Arial" w:hAnsi="Arial"/>
          <w:sz w:val="24"/>
          <w:szCs w:val="24"/>
        </w:rPr>
        <w:t xml:space="preserve"> цифру "7" заменить цифрой "3".</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конституционный Закон вступает в силу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13 ноября 2020 года № 93 (3165)</w:t>
      </w:r>
    </w:p>
    <w:p>
      <w:pPr>
        <w:spacing w:after="60"/>
        <w:ind w:firstLine="567"/>
        <w:jc w:val="both"/>
      </w:pPr>
      <w:r>
        <w:rPr>
          <w:rFonts w:ascii="Arial" w:cs="Arial" w:eastAsia="Arial" w:hAnsi="Arial"/>
          <w:sz w:val="24"/>
          <w:szCs w:val="24"/>
        </w:rPr>
        <w:t xml:space="preserve">Правительству Кыргызской Республики и Центральной комиссии по выборам и проведению референдумов Кыргызской Республики привести свои нормативные правовые акты в соответствие с настоящим конституционным Законом.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 Президента</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w:t>
      </w:r>
      <w:r>
        <w:rPr>
          <w:rFonts w:ascii="Arial" w:cs="Arial" w:eastAsia="Arial" w:hAnsi="Arial"/>
          <w:sz w:val="24"/>
          <w:szCs w:val="24"/>
        </w:rPr>
        <w:t xml:space="preserve">	</w:t>
      </w:r>
      <w:hyperlink w:history="1" r:id="rIdzmjyidzkb_2-lwo1tmkwi">
        <w:r>
          <w:rPr>
            <w:rFonts w:ascii="Arial" w:cs="Arial" w:eastAsia="Arial" w:hAnsi="Arial"/>
            <w:color w:val="1D4ED8"/>
            <w:sz w:val="24"/>
            <w:szCs w:val="24"/>
            <w:u w:val="single"/>
          </w:rPr>
          <w:t xml:space="preserve">22 октября 2020 года</w:t>
        </w:r>
      </w:hyperlink>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sgx1iqscb4aa8ouyyepd">
      <w:r>
        <w:rPr>
          <w:rFonts w:ascii="Arial" w:cs="Arial" w:eastAsia="Arial" w:hAnsi="Arial"/>
          <w:color w:val="132D3F"/>
          <w:sz w:val="16"/>
          <w:szCs w:val="16"/>
          <w:u w:val="single"/>
        </w:rPr>
        <w:t xml:space="preserve">dalil.kg/document/112154</w:t>
      </w:r>
    </w:hyperlink>
  </w:p>
  <w:p>
    <w:pPr>
      <w:spacing w:after="0" w:before="40"/>
      <w:jc w:val="center"/>
    </w:pPr>
    <w:hyperlink w:history="1" r:id="rIdepnz4rxletm5qehm3-sg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khiycuqlvkn-pghsynes" Type="http://schemas.openxmlformats.org/officeDocument/2006/relationships/hyperlink" Target="https://dalil.kg/document/203244" TargetMode="External"/><Relationship Id="rId6dkqao3ri4pms3ztlqq0c" Type="http://schemas.openxmlformats.org/officeDocument/2006/relationships/hyperlink" Target="https://dalil.kg/document/203244#st_14" TargetMode="External"/><Relationship Id="rId5jxglgjqxlkg9kqn3hbyi" Type="http://schemas.openxmlformats.org/officeDocument/2006/relationships/hyperlink" Target="https://dalil.kg/document/203244#st_15" TargetMode="External"/><Relationship Id="rIdq4sqytpm1vrz9ewhp4ymm" Type="http://schemas.openxmlformats.org/officeDocument/2006/relationships/hyperlink" Target="https://dalil.kg/document/203244#st_15" TargetMode="External"/><Relationship Id="rId878elgdom7i4bs0av9i0x" Type="http://schemas.openxmlformats.org/officeDocument/2006/relationships/hyperlink" Target="https://dalil.kg/document/203244#st_41" TargetMode="External"/><Relationship Id="rIdu3mhlpky3v2j2asli1sle" Type="http://schemas.openxmlformats.org/officeDocument/2006/relationships/hyperlink" Target="https://dalil.kg/document/203244#st_61" TargetMode="External"/><Relationship Id="rIdx5gkamozmw-uhwimw36ah" Type="http://schemas.openxmlformats.org/officeDocument/2006/relationships/hyperlink" Target="https://dalil.kg/document/203244#st_64" TargetMode="External"/><Relationship Id="rIdzmjyidzkb_2-lwo1tmkwi" Type="http://schemas.openxmlformats.org/officeDocument/2006/relationships/hyperlink" Target="https://dalil.kg/document/87669"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sgx1iqscb4aa8ouyyepd" Type="http://schemas.openxmlformats.org/officeDocument/2006/relationships/hyperlink" Target="https://dalil.kg/document/112154" TargetMode="External"/><Relationship Id="rIdepnz4rxletm5qehm3-sg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2026-09-24T07:34:09.538Z</dcterms:created>
  <dcterms:modified xsi:type="dcterms:W3CDTF">2026-09-24T07:34:09.538Z</dcterms:modified>
</cp:coreProperties>
</file>

<file path=docProps/custom.xml><?xml version="1.0" encoding="utf-8"?>
<Properties xmlns="http://schemas.openxmlformats.org/officeDocument/2006/custom-properties" xmlns:vt="http://schemas.openxmlformats.org/officeDocument/2006/docPropsVTypes"/>
</file>