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8dfmmhb_bwnqlm4nlaz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октября 2021 года № 126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2021 года № 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Кодекс Кыргызской Республики о нарушениях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4eaiz2ttsiwc6awwwj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(Ведомости Жогорку Кенеша Кыргызской Республики, 2017 г., № 4, ст.285)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примечания к </w:t>
      </w:r>
      <w:hyperlink w:history="1" r:id="rIdnjkp6okhtv_frqup6ow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29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Дела о нарушениях, предусмотренных статьями </w:t>
      </w:r>
      <w:hyperlink w:history="1" r:id="rIdo9aysd_tj0bfjmlzdvh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217</w:t>
        </w:r>
      </w:hyperlink>
      <w:r>
        <w:rPr>
          <w:rFonts w:ascii="Arial" w:cs="Arial" w:eastAsia="Arial" w:hAnsi="Arial"/>
          <w:sz w:val="24"/>
          <w:szCs w:val="24"/>
        </w:rPr>
        <w:t xml:space="preserve"> - </w:t>
      </w:r>
      <w:hyperlink w:history="1" r:id="rIdrzksaj4n1jwoiotrhq1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217-5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государственной налоговой службы, за исключением нарушения, предусмотренного частью 2 </w:t>
      </w:r>
      <w:r>
        <w:rPr>
          <w:rFonts w:ascii="Arial" w:cs="Arial" w:eastAsia="Arial" w:hAnsi="Arial"/>
          <w:sz w:val="24"/>
          <w:szCs w:val="24"/>
        </w:rPr>
        <w:t xml:space="preserve">статьи 217</w:t>
      </w:r>
      <w:r>
        <w:rPr>
          <w:rFonts w:ascii="Arial" w:cs="Arial" w:eastAsia="Arial" w:hAnsi="Arial"/>
          <w:sz w:val="24"/>
          <w:szCs w:val="24"/>
        </w:rPr>
        <w:t xml:space="preserve">, которое рассматривается уполномоченным органом государственной налоговой службы и исполнительными органами местного самоуправления в рамках делегирования соответствующих государственных полномочий в соответствии с налоговым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первом части 2 </w:t>
      </w:r>
      <w:hyperlink w:history="1" r:id="rId16tximcclbo8hmya8fh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217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"объектов налогообложения," дополнить словами "не содержащее признаков преступления либо проступка,";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Кодекс дополнить статьями </w:t>
      </w:r>
      <w:hyperlink w:history="1" r:id="rIdcyq-qban2tuie9fcbio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217-1</w:t>
        </w:r>
      </w:hyperlink>
      <w:r>
        <w:rPr>
          <w:rFonts w:ascii="Arial" w:cs="Arial" w:eastAsia="Arial" w:hAnsi="Arial"/>
          <w:sz w:val="24"/>
          <w:szCs w:val="24"/>
        </w:rPr>
        <w:t xml:space="preserve"> - </w:t>
      </w:r>
      <w:hyperlink w:history="1" r:id="rIddglee8bmewygf3dbcol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217-5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e6kmj8vdbrvui6-qge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217-1</w:t>
        </w:r>
      </w:hyperlink>
      <w:r>
        <w:rPr>
          <w:rFonts w:ascii="Arial" w:cs="Arial" w:eastAsia="Arial" w:hAnsi="Arial"/>
          <w:sz w:val="24"/>
          <w:szCs w:val="24"/>
        </w:rPr>
        <w:t xml:space="preserve">. Перемещение товаров и транспортных средств через государственную границу Кыргызской Республики с территории стран Евразийского экономического союза без соответствующих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Перемещение товаров и транспортных средств через государственную границу Кыргызской Республики с территории стран Евразийского экономического союза без соответствующих документов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5 категории.</w:t>
      </w:r>
    </w:p>
    <w:p>
      <w:pPr>
        <w:spacing w:after="60"/>
        <w:ind w:firstLine="567"/>
        <w:jc w:val="both"/>
      </w:pPr>
      <w:hyperlink w:history="1" r:id="rIdtw8-5exgnozudcu3r5l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217-2</w:t>
        </w:r>
      </w:hyperlink>
      <w:r>
        <w:rPr>
          <w:rFonts w:ascii="Arial" w:cs="Arial" w:eastAsia="Arial" w:hAnsi="Arial"/>
          <w:sz w:val="24"/>
          <w:szCs w:val="24"/>
        </w:rPr>
        <w:t xml:space="preserve">. Повторное использование бывших в употреблении соответствующих средств идентификации или ввоз товаров на таможенную территорию Евразийского экономического союза, равно хранение и реализация товаров, подлежащих маркировке соответствующими средствами идентификации, без нанесения средств идентификации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Повторное использование бывших в употреблении соответствующих средств идентификации или ввоз товаров на таможенную территорию Евразийского экономического союза, равно хранение и реализация товаров, подлежащих маркировке соответствующими средствами идентификации, без нанесения соответствующих средств идентификации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5 категории.</w:t>
      </w:r>
    </w:p>
    <w:p>
      <w:pPr>
        <w:spacing w:after="60"/>
        <w:ind w:firstLine="567"/>
        <w:jc w:val="both"/>
      </w:pPr>
      <w:hyperlink w:history="1" r:id="rIdkcusay5f0jspsvmdr7v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217-3</w:t>
        </w:r>
      </w:hyperlink>
      <w:r>
        <w:rPr>
          <w:rFonts w:ascii="Arial" w:cs="Arial" w:eastAsia="Arial" w:hAnsi="Arial"/>
          <w:sz w:val="24"/>
          <w:szCs w:val="24"/>
        </w:rPr>
        <w:t xml:space="preserve">. Производство, импорт и реализация алкогольных напитков и табачных изделий без акцизных марок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Производство, импорт и реализация алкогольных напитков и табачных изделий без акцизных марок в размере, не превышающем двадцати пяти единиц, если такое нарушение не содержит признаков преступления либо проступка,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4 категории.</w:t>
      </w:r>
    </w:p>
    <w:p>
      <w:pPr>
        <w:spacing w:after="60"/>
        <w:ind w:firstLine="567"/>
        <w:jc w:val="both"/>
      </w:pPr>
      <w:hyperlink w:history="1" r:id="rIdj8lgbggtlmjuse0kqnu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217-4</w:t>
        </w:r>
      </w:hyperlink>
      <w:r>
        <w:rPr>
          <w:rFonts w:ascii="Arial" w:cs="Arial" w:eastAsia="Arial" w:hAnsi="Arial"/>
          <w:sz w:val="24"/>
          <w:szCs w:val="24"/>
        </w:rPr>
        <w:t xml:space="preserve">. Реализация сигарет по цене ниже минимальной розничной цены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сигарет по цене ниже минимальной розничной цены, установленной Правительством Кыргызской Республики,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2 категории.</w:t>
      </w:r>
    </w:p>
    <w:p>
      <w:pPr>
        <w:spacing w:after="60"/>
        <w:ind w:firstLine="567"/>
        <w:jc w:val="both"/>
      </w:pPr>
      <w:hyperlink w:history="1" r:id="rIdhcbvcgfflwd-2twxx0n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217-5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порядка реализации нефтепродуктов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порядка реализации нефтепродуктов в Кыргызской Республике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6 категории.";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kv7p_cpplln2-dn4s6t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222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m6qlcb3ckmc_bwkdvc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222.</w:t>
        </w:r>
      </w:hyperlink>
      <w:r>
        <w:rPr>
          <w:rFonts w:ascii="Arial" w:cs="Arial" w:eastAsia="Arial" w:hAnsi="Arial"/>
          <w:sz w:val="24"/>
          <w:szCs w:val="24"/>
        </w:rPr>
        <w:t xml:space="preserve"> Непредставление единой налоговой декларации и неуплата налога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Непредставление единой налоговой декларации, а равно представление единой налоговой декларации с недостоверными, неполными или искаженными сведениями, или неуплата налога в установленные сроки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предупреждение либо наложение штрафа 1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Действие настоящей статьи не распространяется на лиц, обязанных сдавать декларацию в соответствии с </w:t>
      </w:r>
      <w:hyperlink w:history="1" r:id="rIdnl9e-l5p8w0mkiei-jt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 официальной государственной газете "Эркин Тоо" от 19 марта 2021 года № 21-22 (3200-3201)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 января 2021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dfmmhb_bwnqlm4nlaz3j" Type="http://schemas.openxmlformats.org/officeDocument/2006/relationships/hyperlink" Target="http://kodeks.duckdns.org/document/112305" TargetMode="External"/><Relationship Id="rIdo4eaiz2ttsiwc6awwwjeq" Type="http://schemas.openxmlformats.org/officeDocument/2006/relationships/hyperlink" Target="http://kodeks.duckdns.org/document/111565" TargetMode="External"/><Relationship Id="rIdnjkp6okhtv_frqup6owm1" Type="http://schemas.openxmlformats.org/officeDocument/2006/relationships/hyperlink" Target="http://kodeks.duckdns.org/document/111565#g19" TargetMode="External"/><Relationship Id="rIdo9aysd_tj0bfjmlzdvhih" Type="http://schemas.openxmlformats.org/officeDocument/2006/relationships/hyperlink" Target="http://kodeks.duckdns.org/document/st_217" TargetMode="External"/><Relationship Id="rIdrzksaj4n1jwoiotrhq1gb" Type="http://schemas.openxmlformats.org/officeDocument/2006/relationships/hyperlink" Target="http://kodeks.duckdns.org/document/111565#st_217_5" TargetMode="External"/><Relationship Id="rId16tximcclbo8hmya8fh4p" Type="http://schemas.openxmlformats.org/officeDocument/2006/relationships/hyperlink" Target="http://kodeks.duckdns.org/document/111565#st_217" TargetMode="External"/><Relationship Id="rIdcyq-qban2tuie9fcbio60" Type="http://schemas.openxmlformats.org/officeDocument/2006/relationships/hyperlink" Target="http://kodeks.duckdns.org/document/111565#st_217_1" TargetMode="External"/><Relationship Id="rIddglee8bmewygf3dbcoliw" Type="http://schemas.openxmlformats.org/officeDocument/2006/relationships/hyperlink" Target="http://kodeks.duckdns.org/document/111565#st_217_5" TargetMode="External"/><Relationship Id="rIdre6kmj8vdbrvui6-qgedo" Type="http://schemas.openxmlformats.org/officeDocument/2006/relationships/hyperlink" Target="http://kodeks.duckdns.org/document/111565#st_217_1" TargetMode="External"/><Relationship Id="rIdtw8-5exgnozudcu3r5l9k" Type="http://schemas.openxmlformats.org/officeDocument/2006/relationships/hyperlink" Target="http://kodeks.duckdns.org/document/111565#st_217_2" TargetMode="External"/><Relationship Id="rIdkcusay5f0jspsvmdr7vex" Type="http://schemas.openxmlformats.org/officeDocument/2006/relationships/hyperlink" Target="http://kodeks.duckdns.org/document/111565#st_217_3" TargetMode="External"/><Relationship Id="rIdj8lgbggtlmjuse0kqnun0" Type="http://schemas.openxmlformats.org/officeDocument/2006/relationships/hyperlink" Target="http://kodeks.duckdns.org/document/111565#st_217_4" TargetMode="External"/><Relationship Id="rIdhcbvcgfflwd-2twxx0nq5" Type="http://schemas.openxmlformats.org/officeDocument/2006/relationships/hyperlink" Target="http://kodeks.duckdns.org/document/111565#st_217_5" TargetMode="External"/><Relationship Id="rIdkv7p_cpplln2-dn4s6t_d" Type="http://schemas.openxmlformats.org/officeDocument/2006/relationships/hyperlink" Target="http://kodeks.duckdns.org/document/111565#st_222" TargetMode="External"/><Relationship Id="rIdlm6qlcb3ckmc_bwkdvcoq" Type="http://schemas.openxmlformats.org/officeDocument/2006/relationships/hyperlink" Target="http://kodeks.duckdns.org/document/111565#st_222" TargetMode="External"/><Relationship Id="rIdnl9e-l5p8w0mkiei-jtz9" Type="http://schemas.openxmlformats.org/officeDocument/2006/relationships/hyperlink" Target="http://kodeks.duckdns.org/document/111671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2026-09-23T00:45:37.680Z</dcterms:created>
  <dcterms:modified xsi:type="dcterms:W3CDTF">2026-09-23T00:45:37.680Z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