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сентября </w:t>
      </w:r>
      <w:r>
        <w:rPr>
          <w:rFonts w:ascii="Arial" w:cs="Arial" w:eastAsia="Arial" w:hAnsi="Arial"/>
          <w:sz w:val="24"/>
          <w:szCs w:val="24"/>
        </w:rPr>
        <w:t xml:space="preserve">2021 года № </w:t>
      </w:r>
      <w:r>
        <w:rPr>
          <w:rFonts w:ascii="Arial" w:cs="Arial" w:eastAsia="Arial" w:hAnsi="Arial"/>
          <w:sz w:val="24"/>
          <w:szCs w:val="24"/>
        </w:rPr>
        <w:t xml:space="preserve">118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aatifojehxe-7e0qmq5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января 2022 года №4, </w:t>
      </w:r>
      <w:hyperlink w:history="1" r:id="rId07hghuzzaj91gf4tlpoy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2025 года № 198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в связи с приданием особого статуса Баткенской области Кыргызской Республики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str3ea2ddqow2ibdhyy8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18 января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Бюджетный </w:t>
      </w:r>
      <w:hyperlink w:history="1" r:id="rIdxf3ndqabess2ov3qcka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2016 г., № 5, ст.398)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</w:t>
      </w:r>
      <w:hyperlink w:history="1" r:id="rIdh-cp3do_k3jvggyxyoh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59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"и выдавать государственные гарантии" дополнить словами ", за исключением случаев, установленных законодательством";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второй </w:t>
      </w:r>
      <w:hyperlink w:history="1" r:id="rIdili39waxpw6ilkb1ahm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"Кыргызская Республика не предоставляет государственные гарантии, за исключением гарантий инвесторам, осуществляющим инвестиции на территориях с особым инвестиционным режимом в отраслях экономики и социальной сфере в соответствии с государственными программами (проектами) развития, где могут быть предусмотрены определенные финансовые обязательства государства в рамках гарантий по инвестиционным проектам, в случае нанесения ущерба в результате неправомерных действий/бездействия государственных органов при рассмотрении споров, возникших из-за противоречий в законодательстве.".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xyilc35dsal1mkug3q7d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12 августа 2025 года N 198)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izn_xi6qdvu0fmpiin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 (Ведомости Жогорку Кенеша Кыргызской Республики, 2014 г., № 7, ст.676) следующее изменение:</w:t>
      </w:r>
    </w:p>
    <w:p>
      <w:pPr>
        <w:spacing w:after="60"/>
        <w:ind w:firstLine="567"/>
        <w:jc w:val="both"/>
      </w:pPr>
      <w:hyperlink w:history="1" r:id="rIdsrwx6_09om4wsioaq48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На территориях с особым льготным режимом государственные и муниципальные услуги населению предоставляется бесплатно или на льготных условиях согласно перечню, утверждаемому Кабинетом Министров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Списать образовавшуюся по состоянию на 1 июня 2021 года налоговую задолженность субъектов, включенных в список пострадавших в результате событий на кыргызско-таджикском участке Государственной границы в Баткенской области с 28 по 30 апреля 2021 года, утвержденный Государственной комиссией по восстановлению и развитию приграничных сел Баткенской области.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опубликования, за исключением статьи 1 настоящего Закона, которая вступает в силу с первого числа месяца, следующего за днем официального опубликования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шестимесячный срок разработать нормативные правовые акты, необходимые для реализации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jsnpdtvuc4tknkg8emc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июля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2021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aatifojehxe-7e0qmq5-" Type="http://schemas.openxmlformats.org/officeDocument/2006/relationships/hyperlink" Target="http://kodeks.duckdns.org/document/112342" TargetMode="External"/><Relationship Id="rId07hghuzzaj91gf4tlpoy6" Type="http://schemas.openxmlformats.org/officeDocument/2006/relationships/hyperlink" Target="http://kodeks.duckdns.org/document/230030204" TargetMode="External"/><Relationship Id="rIdstr3ea2ddqow2ibdhyy8w" Type="http://schemas.openxmlformats.org/officeDocument/2006/relationships/hyperlink" Target="http://kodeks.duckdns.org/document/112342" TargetMode="External"/><Relationship Id="rIdxf3ndqabess2ov3qckata" Type="http://schemas.openxmlformats.org/officeDocument/2006/relationships/hyperlink" Target="http://kodeks.duckdns.org/document/111338" TargetMode="External"/><Relationship Id="rIdh-cp3do_k3jvggyxyohc5" Type="http://schemas.openxmlformats.org/officeDocument/2006/relationships/hyperlink" Target="http://kodeks.duckdns.org/document/111338#st_59" TargetMode="External"/><Relationship Id="rIdili39waxpw6ilkb1ahmp1" Type="http://schemas.openxmlformats.org/officeDocument/2006/relationships/hyperlink" Target="http://kodeks.duckdns.org/document/111338#st_63" TargetMode="External"/><Relationship Id="rIdxyilc35dsal1mkug3q7dq" Type="http://schemas.openxmlformats.org/officeDocument/2006/relationships/hyperlink" Target="http://kodeks.duckdns.org/document/230030204" TargetMode="External"/><Relationship Id="rIdcizn_xi6qdvu0fmpiinrs" Type="http://schemas.openxmlformats.org/officeDocument/2006/relationships/hyperlink" Target="http://kodeks.duckdns.org/document/205360" TargetMode="External"/><Relationship Id="rIdsrwx6_09om4wsioaq48os" Type="http://schemas.openxmlformats.org/officeDocument/2006/relationships/hyperlink" Target="http://kodeks.duckdns.org/document/205360#st_7" TargetMode="External"/><Relationship Id="rIdjsnpdtvuc4tknkg8emcjm" Type="http://schemas.openxmlformats.org/officeDocument/2006/relationships/hyperlink" Target="http://kodeks.duckdns.org/document/88032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2026-09-23T14:53:59.358Z</dcterms:created>
  <dcterms:modified xsi:type="dcterms:W3CDTF">2026-09-23T14:53:59.358Z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