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bzz9tgmkec3guknx5g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2023 года № 108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 </w:t>
      </w:r>
      <w:r>
        <w:rPr>
          <w:rFonts w:ascii="Arial" w:cs="Arial" w:eastAsia="Arial" w:hAnsi="Arial"/>
          <w:sz w:val="24"/>
          <w:szCs w:val="24"/>
        </w:rPr>
        <w:t xml:space="preserve">2021 года № </w:t>
      </w:r>
      <w:r>
        <w:rPr>
          <w:rFonts w:ascii="Arial" w:cs="Arial" w:eastAsia="Arial" w:hAnsi="Arial"/>
          <w:sz w:val="24"/>
          <w:szCs w:val="24"/>
        </w:rPr>
        <w:t xml:space="preserve">117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пограничных уполномоченных"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t-e1fmlo8ueraz1u6p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(Ведомости Жогорку Кенеша Кыргызской Республики, 2015 г., № 3, ст.226)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gvhnvunfzyayf94rs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rjwwi9mv4-igekxe9ka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r0rcbwkhakexopg7-f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41</w:t>
      </w:r>
      <w:r>
        <w:rPr>
          <w:rFonts w:ascii="Arial" w:cs="Arial" w:eastAsia="Arial" w:hAnsi="Arial"/>
          <w:sz w:val="24"/>
          <w:szCs w:val="24"/>
        </w:rPr>
        <w:t xml:space="preserve">. Условия и пределы применения физической силы, специальных средств и оружия пограничными уполномоченными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 охране государственной границы пограничные уполномоченные имеют право на ношение и применение специальных средств, оружия, а также на применение физической силы в случаях и порядке, установленных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пограничным уполномоченным специальных средств и оружия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hyperlink w:history="1" r:id="rIdyp8-nil9vjzylhfygl5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специальных средств пограничными уполномоченными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пограничный уполномоченный имеет право применять специальные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 в составе пограничного наряда,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нападения на военнослужащих и других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специальные средства в отношении: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неумышленно или вследствие несчастного случая либо других факторов непреодолимой силы.</w:t>
      </w:r>
    </w:p>
    <w:p>
      <w:pPr>
        <w:spacing w:after="120"/>
        <w:ind w:firstLine="397"/>
        <w:jc w:val="both"/>
      </w:pPr>
      <w:hyperlink w:history="1" r:id="rIdk-vuevujzj4wiyz7_a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оружия пограничными уполномоченными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пограничный уполномоченный имеет право применить оружие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отражении вооруженного вторжения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преследования в составе пограничного наряда вооруженных нарушителей государственной границы и если имеется непосредственная угроза нападения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отражении нападения на подразделения и объекты уполномоченного государственного органа в сфере охраны государственной границы.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оружие: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лиц, нарушивших государственную границу неумышленно или вследствие несчастного случая либо других факторов непреодолимой силы;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граждан не угрожает опасность.";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qxt0ni8e3axdwxcawf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Обязательное государственное страхование жизни и здоровья пограничных уполномоченных осуществляется наравне с военнослужащими Вооруженных Сил Кыргызской Республики в случае смерти, получения увечья и ранения при исполнении ими служебных обязанностей, связанных с охраной государственной границы.".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2021 года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imffiahuduwkw7r4q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dalil.kg/document/112295</w:t>
      </w:r>
    </w:hyperlink>
  </w:p>
  <w:p>
    <w:pPr>
      <w:spacing w:after="0" w:before="40"/>
      <w:jc w:val="center"/>
    </w:pPr>
    <w:hyperlink w:history="1" r:id="rIdh2ski1s7297rx1kud4i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zz9tgmkec3guknx5g44" Type="http://schemas.openxmlformats.org/officeDocument/2006/relationships/hyperlink" Target="https://dalil.kg/document/112588" TargetMode="External"/><Relationship Id="rIdct-e1fmlo8ueraz1u6pxm" Type="http://schemas.openxmlformats.org/officeDocument/2006/relationships/hyperlink" Target="https://dalil.kg/document/205466" TargetMode="External"/><Relationship Id="rId4gvhnvunfzyayf94rsfpq" Type="http://schemas.openxmlformats.org/officeDocument/2006/relationships/hyperlink" Target="https://dalil.kg/document/205466" TargetMode="External"/><Relationship Id="rIdrjwwi9mv4-igekxe9ka5a" Type="http://schemas.openxmlformats.org/officeDocument/2006/relationships/hyperlink" Target="https://dalil.kg/document/205466#st4_1" TargetMode="External"/><Relationship Id="rIdr0rcbwkhakexopg7-fpnx" Type="http://schemas.openxmlformats.org/officeDocument/2006/relationships/hyperlink" Target="https://dalil.kg/document/205466#st4_3" TargetMode="External"/><Relationship Id="rIdyp8-nil9vjzylhfygl5iw" Type="http://schemas.openxmlformats.org/officeDocument/2006/relationships/hyperlink" Target="https://dalil.kg/document/205466#st4_2" TargetMode="External"/><Relationship Id="rIdk-vuevujzj4wiyz7_apqh" Type="http://schemas.openxmlformats.org/officeDocument/2006/relationships/hyperlink" Target="https://dalil.kg/document/205466#st4_3" TargetMode="External"/><Relationship Id="rIdqxt0ni8e3axdwxcawfz_i" Type="http://schemas.openxmlformats.org/officeDocument/2006/relationships/hyperlink" Target="https://dalil.kg/document/205466#st_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imffiahuduwkw7r4qmc" Type="http://schemas.openxmlformats.org/officeDocument/2006/relationships/hyperlink" Target="https://dalil.kg/document/112295" TargetMode="External"/><Relationship Id="rIdh2ski1s7297rx1kud4i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2026-09-24T01:16:57.708Z</dcterms:created>
  <dcterms:modified xsi:type="dcterms:W3CDTF">2026-09-24T01:16:57.708Z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