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по вопросам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dj_9ypz7wkdrukvwgh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122-123) следующее изменение:</w:t>
      </w:r>
    </w:p>
    <w:p>
      <w:pPr>
        <w:spacing w:after="120"/>
        <w:jc w:val="both"/>
      </w:pPr>
      <w:hyperlink w:history="1" r:id="rIdxocv6pqvruf4nbbu7r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q6kerebrworb4my0ut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4 </w:t>
      </w:r>
      <w:hyperlink w:history="1" r:id="rId_tw7ul8jsb7smgvvxa4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"статьей 144" заменить словами "статьями 144 и 346";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trhcoxy496i-jia5n3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ipift6-xzt6emr9l4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законодательства о лотерейной и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или неисполнение лотерейной компанией требований законодательства о лотерейной деятельности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280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или неисполнение организатором игорной деятельности требований законодательства об игорной деятельности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2000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правил рекламирования игорного бизнеса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450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Представление недостоверной (ложной) информации или документов либо отказ представить информацию или документы должностным лицам государственных органов, осуществляющих контроль за игорной и лотерейной деятельностью,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должностных лиц субъектов лотерейной деятельности в размере 150 расчетных показателей, на должностных лиц субъектов игорной деятельности - 1000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Воспрепятствование деятельности должностных лиц государственных органов, осуществляющих контроль за лотерейной и игорной деятельностью, а равно неисполнение или оставление без рассмотрения должностным лицом субъекта лотерейной, игорной деятельности требований должностных лиц государственных органов, осуществляющих контроль за лотерейной, игорной деятельностью, при исполнении ими своих должностных обязанностей,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должностных лиц субъектов лотерейной деятельности в размере 150 расчетных показателей, на должностных лиц субъектов игорной деятельности - 1000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muejvv2gbv7sji9ojke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19 января 2022 года № 4-9)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3js2zviorxqqzyqoipc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46 и 47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"46) игорная деятельность - деятельность, связанная с организацией, проведением азартных игр и предоставлением возможности доступа к ним в казино, на игровых автоматах, компьютерных симуляторах, в интерактивных заведениях, электронном (виртуальном) казино, букмекерских конторах, тотализаторах, независимо от места расположения сервера;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 приема ставок (касса) - обособленное рабочее место сотрудника букмекерской конторы или тотализатора, оборудованное необходимой электронно-вычислительной техникой и средствами связи и предназначенное для приема ставок и выплаты выигрышей.";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tjkyzmnrvhg0bqngecm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налог на игорную деятельность.";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vlihnosssx6hsk-i3hg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играх" дополнить словами ", в том числе азартных,";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8 части 3 </w:t>
      </w:r>
      <w:hyperlink w:history="1" r:id="rIdtmswaohoxti_d6320de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стимулирующей лотереи/акции" заменить словами "в азартных играх, стимулирующей лотерее/акции";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Кодекс дополнить </w:t>
      </w:r>
      <w:hyperlink w:history="1" r:id="rIda5gjhqbs3nsoch1wgh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nph5m5fdbihr9lkxo8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62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 на игорную деятельность</w:t>
      </w:r>
    </w:p>
    <w:p>
      <w:pPr>
        <w:spacing w:after="120"/>
        <w:jc w:val="both"/>
      </w:pPr>
      <w:hyperlink w:history="1" r:id="rIdo8hip5cptj3rc74obwh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450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режим, предусмотренный настоящей главой, применяется только в отношении деятельности субъектов, осуществляющих деятельность в соответствии с требованиями, предъявляемыми законодательством Кыргызской Республики об игорной деятельности (далее - налогоплательщик).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на игорную деятельность предусматривает обязанность уплачивать налог в отношении игорной деятельности, подлежащей обложению согласно настоящей главе, взамен: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налога на прибыль;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НДС на облагаемые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Налогоплательщик, уплачивающий налог на игорную деятельность, уплачивает налоги, не указанные в части 2 настоящей статьи,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Налогоплательщик не освобождается от обязанностей налоговых агентов в случаях, установленных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Налогоплательщик, занимающийся иными видами деятельности, обязан вести раздельный учет, представлять отчетность и уплачивать налоги по данным видам деятельности в порядке, установленном настоящим Кодексом. При этом расходы, произведенные в связи с осуществлением игорной деятельности, не подлежат вычету из совокупного годового дохода по другим видам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Налогоплательщик обязан подать заявление в налоговый орган как плательщик налога на игорную деятельность по месту налоговой регистрации.</w:t>
      </w:r>
    </w:p>
    <w:p>
      <w:pPr>
        <w:spacing w:after="120"/>
        <w:jc w:val="both"/>
      </w:pPr>
      <w:hyperlink w:history="1" r:id="rIdrppsyapcxcmfqrjygn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451</w:t>
        </w:r>
      </w:hyperlink>
      <w:r>
        <w:rPr>
          <w:rFonts w:ascii="Arial" w:cs="Arial" w:eastAsia="Arial" w:hAnsi="Arial"/>
          <w:sz w:val="24"/>
          <w:szCs w:val="24"/>
        </w:rPr>
        <w:t xml:space="preserve">. Объект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налогообложения налога на игорную деятельность является деятельность, связанная с организацией, проведением азартных игр и предоставлением возможности доступа к ним в казино, на игровых автоматах, компьютерных симуляторах, в интерактивных заведениях, электронном (виртуальном) казино, букмекерских конторах, тотализаторах, независимо от места расположения сервера.</w:t>
      </w:r>
    </w:p>
    <w:p>
      <w:pPr>
        <w:spacing w:after="120"/>
        <w:jc w:val="both"/>
      </w:pPr>
      <w:hyperlink w:history="1" r:id="rIdeebguv2rsahm_yc0cxc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452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Налоговая база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настоящей статьей, базой обложения налогом на игорную деятельность является 1 игровое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тотализатора и букмекерской конторы базой обложения налогом на игорную деятельность является 1 пункт приема ставок (касса).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Базой обложения налогом деятельности по организации, проведению азартных игр и предоставлению возможности доступа к ним в онлайн-казино и электронном (виртуальном) казино, независимо от места расположения сервера, является разница между выручкой налогоплательщика и выплаченным участнику выигрышем.</w:t>
      </w:r>
    </w:p>
    <w:p>
      <w:pPr>
        <w:spacing w:after="120"/>
        <w:jc w:val="both"/>
      </w:pPr>
      <w:hyperlink w:history="1" r:id="rIdi7r9glfazucpoymxyt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453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Ставки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уплачивает налог на игорную деятельность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1 игровой стол (1 флот) казино: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- 750000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2023 году - 1000000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2024 года - 1250000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1 игровой автомат зала игровых автоматов и компьютерных симуляторов: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2023 году - 75000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2024 года - 100000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1 пункт приема ставок (касса) букмекерской конторы и тотализатора: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- 200000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2023 году - 350000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2024 года - 500000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онлайн-казино и электронных (виртуальных) казино ставка налога устанавливается в размере 8 процентов.</w:t>
      </w:r>
    </w:p>
    <w:p>
      <w:pPr>
        <w:spacing w:after="120"/>
        <w:jc w:val="both"/>
      </w:pPr>
      <w:hyperlink w:history="1" r:id="rIdq5sy61zdqmuebioju6f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454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периодом для налога на игорную деятельность является один календарный месяц.</w:t>
      </w:r>
    </w:p>
    <w:p>
      <w:pPr>
        <w:spacing w:after="120"/>
        <w:jc w:val="both"/>
      </w:pPr>
      <w:hyperlink w:history="1" r:id="rIdo2jkud5it-mgh3ydwot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455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исчисления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налога на игорную деятельность производится в соответствии с порядком, установленным частью 1 статьи 43 настоящего Кодекса.</w:t>
      </w:r>
    </w:p>
    <w:p>
      <w:pPr>
        <w:spacing w:after="120"/>
        <w:jc w:val="both"/>
      </w:pPr>
      <w:hyperlink w:history="1" r:id="rId9tz1ykrjqgn0evswphg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456</w:t>
        </w:r>
      </w:hyperlink>
      <w:r>
        <w:rPr>
          <w:rFonts w:ascii="Arial" w:cs="Arial" w:eastAsia="Arial" w:hAnsi="Arial"/>
          <w:sz w:val="24"/>
          <w:szCs w:val="24"/>
        </w:rPr>
        <w:t xml:space="preserve">. Представление налоговой отчетности. Порядок и срок уплаты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 обязан представлять: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налоговый отчет - до истечения срока уплаты налога или в день его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единую налоговую декларацию - в срок, установленный статьей 106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 обязан производить уплату налога ежемесячно до начала отчетного месяца.".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4nnl6kouxtr5ymiom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ipx4x8m1hzr036ntxt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лицензирования игорной деятельности, включая порядок выдачи, приостановления, прекращения (отзыва/аннулирования), переоформления лицензии, а также условия лицензирования, лицензионный контроль, взимание сборов и платежей регулируются законодательством Кыргызской Республики об игорной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9ythpqevp5pd52cpt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игорная деятельность;".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sddu4asdb_j-y_yga5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5 </w:t>
      </w:r>
      <w:hyperlink w:history="1" r:id="rIdkqspkpdtoq4p3q_tl3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4ekzj7ytmr1lx5negnq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dohb-wiovmxfino25fx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налог на игорную деятельность;".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u_aae9yq_ibldjadsj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6utktfupqucrfp81b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dalil.kg/document/112384</w:t>
      </w:r>
    </w:hyperlink>
  </w:p>
  <w:p>
    <w:pPr>
      <w:spacing w:after="0" w:before="40"/>
      <w:jc w:val="center"/>
    </w:pPr>
    <w:hyperlink w:history="1" r:id="rIdkyvmvi0ustdcey_jtuh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_9ypz7wkdrukvwghkak" Type="http://schemas.openxmlformats.org/officeDocument/2006/relationships/hyperlink" Target="https://dalil.kg/document/112309" TargetMode="External"/><Relationship Id="rIdxocv6pqvruf4nbbu7rgto" Type="http://schemas.openxmlformats.org/officeDocument/2006/relationships/hyperlink" Target="https://dalil.kg/document/112309#st_219" TargetMode="External"/><Relationship Id="rIdtq6kerebrworb4my0utif" Type="http://schemas.openxmlformats.org/officeDocument/2006/relationships/hyperlink" Target="https://dalil.kg/document/112306" TargetMode="External"/><Relationship Id="rId_tw7ul8jsb7smgvvxa44i" Type="http://schemas.openxmlformats.org/officeDocument/2006/relationships/hyperlink" Target="https://dalil.kg/document/112306#st_31" TargetMode="External"/><Relationship Id="rId7trhcoxy496i-jia5n3v9" Type="http://schemas.openxmlformats.org/officeDocument/2006/relationships/hyperlink" Target="https://dalil.kg/document/112306#st_346" TargetMode="External"/><Relationship Id="rIdvipift6-xzt6emr9l4mlc" Type="http://schemas.openxmlformats.org/officeDocument/2006/relationships/hyperlink" Target="https://dalil.kg/document/112306#st_346" TargetMode="External"/><Relationship Id="rIdmuejvv2gbv7sji9ojkev3" Type="http://schemas.openxmlformats.org/officeDocument/2006/relationships/hyperlink" Target="https://dalil.kg/document/112340" TargetMode="External"/><Relationship Id="rId3js2zviorxqqzyqoipc6c" Type="http://schemas.openxmlformats.org/officeDocument/2006/relationships/hyperlink" Target="https://dalil.kg/document/112340#st_4" TargetMode="External"/><Relationship Id="rIdtjkyzmnrvhg0bqngecmvw" Type="http://schemas.openxmlformats.org/officeDocument/2006/relationships/hyperlink" Target="https://dalil.kg/document/112340#st_46" TargetMode="External"/><Relationship Id="rIdvlihnosssx6hsk-i3hgrl" Type="http://schemas.openxmlformats.org/officeDocument/2006/relationships/hyperlink" Target="https://dalil.kg/document/112340#st_184" TargetMode="External"/><Relationship Id="rIdtmswaohoxti_d6320de_z" Type="http://schemas.openxmlformats.org/officeDocument/2006/relationships/hyperlink" Target="https://dalil.kg/document/112340#st_191" TargetMode="External"/><Relationship Id="rIda5gjhqbs3nsoch1wghref" Type="http://schemas.openxmlformats.org/officeDocument/2006/relationships/hyperlink" Target="https://dalil.kg/document/112340#g62" TargetMode="External"/><Relationship Id="rIdpnph5m5fdbihr9lkxo8vn" Type="http://schemas.openxmlformats.org/officeDocument/2006/relationships/hyperlink" Target="https://dalil.kg/document/112340#g62" TargetMode="External"/><Relationship Id="rIdo8hip5cptj3rc74obwh-e" Type="http://schemas.openxmlformats.org/officeDocument/2006/relationships/hyperlink" Target="https://dalil.kg/document/112340#st_450" TargetMode="External"/><Relationship Id="rIdrppsyapcxcmfqrjygnjig" Type="http://schemas.openxmlformats.org/officeDocument/2006/relationships/hyperlink" Target="https://dalil.kg/document/112340#st_451" TargetMode="External"/><Relationship Id="rIdeebguv2rsahm_yc0cxck2" Type="http://schemas.openxmlformats.org/officeDocument/2006/relationships/hyperlink" Target="https://dalil.kg/document/112340#st_452" TargetMode="External"/><Relationship Id="rIdi7r9glfazucpoymxytsdj" Type="http://schemas.openxmlformats.org/officeDocument/2006/relationships/hyperlink" Target="https://dalil.kg/document/112340#st_453" TargetMode="External"/><Relationship Id="rIdq5sy61zdqmuebioju6fo0" Type="http://schemas.openxmlformats.org/officeDocument/2006/relationships/hyperlink" Target="https://dalil.kg/document/112340#st_454" TargetMode="External"/><Relationship Id="rIdo2jkud5it-mgh3ydwot9d" Type="http://schemas.openxmlformats.org/officeDocument/2006/relationships/hyperlink" Target="https://dalil.kg/document/112340#st_455" TargetMode="External"/><Relationship Id="rId9tz1ykrjqgn0evswphgr_" Type="http://schemas.openxmlformats.org/officeDocument/2006/relationships/hyperlink" Target="https://dalil.kg/document/112340#st_456" TargetMode="External"/><Relationship Id="rIdq4nnl6kouxtr5ymiomvab" Type="http://schemas.openxmlformats.org/officeDocument/2006/relationships/hyperlink" Target="https://dalil.kg/document/205058" TargetMode="External"/><Relationship Id="rIdipx4x8m1hzr036ntxtytg" Type="http://schemas.openxmlformats.org/officeDocument/2006/relationships/hyperlink" Target="https://dalil.kg/document/205058#st_2" TargetMode="External"/><Relationship Id="rIdo9ythpqevp5pd52cpttcu" Type="http://schemas.openxmlformats.org/officeDocument/2006/relationships/hyperlink" Target="https://dalil.kg/document/205058#st_15" TargetMode="External"/><Relationship Id="rIdusddu4asdb_j-y_yga5do" Type="http://schemas.openxmlformats.org/officeDocument/2006/relationships/hyperlink" Target="https://dalil.kg/document/162" TargetMode="External"/><Relationship Id="rIdkqspkpdtoq4p3q_tl3cm_" Type="http://schemas.openxmlformats.org/officeDocument/2006/relationships/hyperlink" Target="https://dalil.kg/document/162#st_16" TargetMode="External"/><Relationship Id="rId4ekzj7ytmr1lx5negnqpo" Type="http://schemas.openxmlformats.org/officeDocument/2006/relationships/hyperlink" Target="https://dalil.kg/document/111338" TargetMode="External"/><Relationship Id="rIddohb-wiovmxfino25fxd4" Type="http://schemas.openxmlformats.org/officeDocument/2006/relationships/hyperlink" Target="https://dalil.kg/document/111338#st_46" TargetMode="External"/><Relationship Id="rIdhu_aae9yq_ibldjadsjn4" Type="http://schemas.openxmlformats.org/officeDocument/2006/relationships/hyperlink" Target="https://dalil.kg/document/89216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6utktfupqucrfp81b0p" Type="http://schemas.openxmlformats.org/officeDocument/2006/relationships/hyperlink" Target="https://dalil.kg/document/112384" TargetMode="External"/><Relationship Id="rIdkyvmvi0ustdcey_jtuh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2026-09-25T03:08:30.693Z</dcterms:created>
  <dcterms:modified xsi:type="dcterms:W3CDTF">2026-09-25T03:08:30.693Z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