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fxery_0nxyje0bqb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6bnnads8u1aqn-nld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hp6cszzg_vo8kuric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 - Национальный банк) и осуществляющее гарантийную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</w:t>
      </w:r>
      <w:r>
        <w:rPr>
          <w:rFonts w:ascii="Arial" w:cs="Arial" w:eastAsia="Arial" w:hAnsi="Arial"/>
          <w:sz w:val="24"/>
          <w:szCs w:val="24"/>
        </w:rPr>
        <w:t xml:space="preserve">- субъект предпринимательства и участник государственных жилищных программ, часть обязательств которых обеспечена гарантией по договору финансирования с финансово-кредитной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предпринимательства - физическое лицо, занимающееся предпринимательской деятельностью без образования юридического лица, и юридическое лицо, определенное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государственных жилищных программ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подавший заявление и прошедший отбор на получение жилищного финансирования в рамках реализации государственных жилищных программ, утвержденных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клиента</w:t>
      </w:r>
      <w:r>
        <w:rPr>
          <w:rFonts w:ascii="Arial" w:cs="Arial" w:eastAsia="Arial" w:hAnsi="Arial"/>
          <w:sz w:val="24"/>
          <w:szCs w:val="24"/>
        </w:rPr>
        <w:t xml:space="preserve"> - обязательства, возникшие в рамках полученного от финансово-кредитной организации финансирования и соответствующие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</w:t>
      </w:r>
      <w:r>
        <w:rPr>
          <w:rFonts w:ascii="Arial" w:cs="Arial" w:eastAsia="Arial" w:hAnsi="Arial"/>
          <w:sz w:val="24"/>
          <w:szCs w:val="24"/>
        </w:rPr>
        <w:t xml:space="preserve"> - обязательство гарантийного фонда перед финансово-кредитной организацией нести ответственность за исполнение части обязательств по основному долгу клиента по договорам финансирования в пределах суммы предоставленной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 путем предоставления гарантий по договорам и/или соглашениям финансирования клиентов и другими гарантийными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предоставления гарантий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фонда, регламентирующий порядок и условия предоставления гарантий, виды гарантийных инструментов, принципы предоставления гарантий, критерии и требования отбора обязательств клиентов, а также условия амортизации гарантии и ответственность сторон, соответствующий требованиям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гарантийные инструменты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форм и видов гарантий, используемых для обеспечения обязательств клиентов по договорам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организации</w:t>
      </w:r>
      <w:r>
        <w:rPr>
          <w:rFonts w:ascii="Arial" w:cs="Arial" w:eastAsia="Arial" w:hAnsi="Arial"/>
          <w:sz w:val="24"/>
          <w:szCs w:val="24"/>
        </w:rPr>
        <w:t xml:space="preserve">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и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</w:t>
      </w:r>
      <w:r>
        <w:rPr>
          <w:rFonts w:ascii="Arial" w:cs="Arial" w:eastAsia="Arial" w:hAnsi="Arial"/>
          <w:sz w:val="24"/>
          <w:szCs w:val="24"/>
        </w:rPr>
        <w:t xml:space="preserve">- предоставление финансово-кредитными организациями ипотечных/коммерческих кредитов и их заменителей, а также сделки/операции, осуществляемые в соответствии с исламскими принципами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установленное Национальным банком отношение возможного превышения объема гарантийного портфеля к размеру собственного капитала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совокупный объем обязательств гарантийного фонда по договорам и/или соглашениям финансирования клиентов на определенную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 и акционеры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термины и определения, используемые в настоящем Законе, понимаются в соответствии с их общепринятым значением в </w:t>
      </w:r>
      <w:hyperlink w:history="1" r:id="rIdk7nxeellut8fwvg7sgo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законодательстве Кыргызской Республики и в международной практике, если иное не определено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-br_vehpxnreqweaw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"субъектов предпринимательства" заменить словом "клиентов";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_-roomtrfdrs-s0rid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Любое физическое или юридическое лицо, намеревающееся единолично или совместно с другими лицами приобрести в совокупности более 10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1 и 2 </w:t>
      </w:r>
      <w:hyperlink w:history="1" r:id="rIdn5p5xkavfo_iytyw-a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Гарантийные фонды формируют органы управления в соответствии с </w:t>
      </w:r>
      <w:hyperlink w:history="1" r:id="rIdv3hvqz_1cs9f6bppzq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с учетом особенностей, предусмотренных настоящим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акционеров - высший орган управления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- орган управления фонда, осуществляющий общее руководство обществом в период между общими собраниями акционеров. Члены совета директоров фонда избираются общим собранием акционеров в порядке, предусмотренном </w:t>
      </w:r>
      <w:hyperlink w:history="1" r:id="rIdzjub1o5qsds88hsv2h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правление - орган, осуществляющий руководство текущей деятельностью фонда. Члены правления фонда избираются советом директоров фонда в порядке, предусмотренном </w:t>
      </w:r>
      <w:hyperlink w:history="1" r:id="rId99qqdlhyyvdvpyihrm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ревизионная комиссия - контрольный орган, осуществляющий контроль за финансово-хозяйственной деятельностью фонда. Избирается в соответствии с </w:t>
      </w:r>
      <w:hyperlink w:history="1" r:id="rIdqd0236tub-3uh1xxq2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правовой статус и компетенция органов управления гарантийных фондов регулируются законодательством Кыргызской Республики с учетом особенностей, предусмотренных нормативными правовыми актами Национального банка, уставом и внутренними нормативными документами гарантийного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ylhhx_gabutg1qmii7u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словом "клиентов";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3dqdjhxizubwz0y_cu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вознаграждения за услуги устанавливается гарантийными фондами самостоятельно в соответствии с договором и/или соглашением, с учетом особенностей, предусмотренных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gpl26j4mwaqjbtj7xt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dmckt8swtpkgqomnq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0ost1ht7d5wejt-lq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предоставляется на часть обязательства клиента перед финансово-кредитной организацией в соответствии с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-uozjrs_zu1ggz9j_46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условия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ответственности гарантийного фонда по заключенным договорам и/или соглашениям предоставления гарантии не должен превышать 50 процентов от объема основных обязательств (основной суммы финансирования) клиента перед финансово-кредитной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Максимальный размер гарантии на одно лицо или группу связанных лиц определяется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гарантии осуществляется на основе договора и/или соглашения, является возмездной и размер вознаграждения определяется соответствующим уполномоченным органом гарантийного фонда, предусмотренный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Гарантии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мультипликатора устанавливается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8artuaehaos1_wwvuf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обязательства, часть которого обеспечена гарантией, определяется политикой предоставления гарантий, соглашением о сотрудничестве с финансово-кредитными организациями и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исполнение обязательств клиента по финансированию в части уплаты процентов, неустойки, штрафа, пеней,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 необходимых мер по взысканию задолженности, предусмотренных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предоставления полного пакета документов по реализации финансово-кредитной организацией необходимых мер по взысканию задолженности, перечень которых определен политикой предоставления гарантий, гарантийный фонд исполняет требования по гарантии в порядке и на условиях заключенного соглашения о сотрудничестве с финансово-кредитной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исполнения гарантийным фондом требований, предусмотренных настоящей статьей, гарантийный фонд приобретает в регрессном порядке право требования к клиенту по возмещению суммы, выплаченной гарантийным фондом финансово-кредитной организации по договору финансирования в объеме исполненных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7 </w:t>
      </w:r>
      <w:hyperlink w:history="1" r:id="rIdvs5haicjumy70zfvcn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Любые сведения, полученные гарантийными фондами в рамках взаимодействия с клиентами при выдаче гарантий или иным образом в связи с взаимоотношением гарантийного фонда с клиентом либо созданные гарантийным фондом, являются сведениями, относящимися к банковской тайне, и регламентируются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hyperlink w:history="1" r:id="rIdubrrnxwahsdumee4koy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ликвидации активы гарантийного фонда подлежат распределению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№ 70(3405)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xxqiqtbikwml4erwi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dalil.kg/document/112422</w:t>
      </w:r>
    </w:hyperlink>
  </w:p>
  <w:p>
    <w:pPr>
      <w:spacing w:after="0" w:before="40"/>
      <w:jc w:val="center"/>
    </w:pPr>
    <w:hyperlink w:history="1" r:id="rIdyj8oqihu8iocvh_ts4h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fxery_0nxyje0bqbqe7" Type="http://schemas.openxmlformats.org/officeDocument/2006/relationships/hyperlink" Target="https://dalil.kg/document/111890" TargetMode="External"/><Relationship Id="rIdf6bnnads8u1aqn-nldrai" Type="http://schemas.openxmlformats.org/officeDocument/2006/relationships/hyperlink" Target="https://dalil.kg/document/111890#st_1" TargetMode="External"/><Relationship Id="rId3hp6cszzg_vo8kuricctk" Type="http://schemas.openxmlformats.org/officeDocument/2006/relationships/hyperlink" Target="https://dalil.kg/document/111890#st_1" TargetMode="External"/><Relationship Id="rIdk7nxeellut8fwvg7sgo3_" Type="http://schemas.openxmlformats.org/officeDocument/2006/relationships/hyperlink" Target="https://dalil.kg/document/111486" TargetMode="External"/><Relationship Id="rIdn-br_vehpxnreqweawn2k" Type="http://schemas.openxmlformats.org/officeDocument/2006/relationships/hyperlink" Target="https://dalil.kg/document/111890#st_4" TargetMode="External"/><Relationship Id="rId_-roomtrfdrs-s0riddko" Type="http://schemas.openxmlformats.org/officeDocument/2006/relationships/hyperlink" Target="https://dalil.kg/document/111890#st_5" TargetMode="External"/><Relationship Id="rIdn5p5xkavfo_iytyw-ahdk" Type="http://schemas.openxmlformats.org/officeDocument/2006/relationships/hyperlink" Target="https://dalil.kg/document/111890#st_6" TargetMode="External"/><Relationship Id="rIdv3hvqz_1cs9f6bppzq_nl" Type="http://schemas.openxmlformats.org/officeDocument/2006/relationships/hyperlink" Target="https://dalil.kg/document/1188" TargetMode="External"/><Relationship Id="rIdzjub1o5qsds88hsv2htp9" Type="http://schemas.openxmlformats.org/officeDocument/2006/relationships/hyperlink" Target="https://dalil.kg/document/1188" TargetMode="External"/><Relationship Id="rId99qqdlhyyvdvpyihrm4wn" Type="http://schemas.openxmlformats.org/officeDocument/2006/relationships/hyperlink" Target="https://dalil.kg/document/1188" TargetMode="External"/><Relationship Id="rIdqd0236tub-3uh1xxq2rjw" Type="http://schemas.openxmlformats.org/officeDocument/2006/relationships/hyperlink" Target="https://dalil.kg/document/1188" TargetMode="External"/><Relationship Id="rIdylhhx_gabutg1qmii7u_a" Type="http://schemas.openxmlformats.org/officeDocument/2006/relationships/hyperlink" Target="https://dalil.kg/document/111890#st_7" TargetMode="External"/><Relationship Id="rId3dqdjhxizubwz0y_cubyd" Type="http://schemas.openxmlformats.org/officeDocument/2006/relationships/hyperlink" Target="https://dalil.kg/document/111890#st_9" TargetMode="External"/><Relationship Id="rIdgpl26j4mwaqjbtj7xtr8t" Type="http://schemas.openxmlformats.org/officeDocument/2006/relationships/hyperlink" Target="https://dalil.kg/document/111890#st_12" TargetMode="External"/><Relationship Id="rId2dmckt8swtpkgqomnqe2t" Type="http://schemas.openxmlformats.org/officeDocument/2006/relationships/hyperlink" Target="https://dalil.kg/document/111890#st_14" TargetMode="External"/><Relationship Id="rIds0ost1ht7d5wejt-lqmyc" Type="http://schemas.openxmlformats.org/officeDocument/2006/relationships/hyperlink" Target="https://dalil.kg/document/111890#st_12" TargetMode="External"/><Relationship Id="rId-uozjrs_zu1ggz9j_46wt" Type="http://schemas.openxmlformats.org/officeDocument/2006/relationships/hyperlink" Target="https://dalil.kg/document/111890#st_13" TargetMode="External"/><Relationship Id="rId8artuaehaos1_wwvufdit" Type="http://schemas.openxmlformats.org/officeDocument/2006/relationships/hyperlink" Target="https://dalil.kg/document/111890#st_14" TargetMode="External"/><Relationship Id="rIdvs5haicjumy70zfvcnvhb" Type="http://schemas.openxmlformats.org/officeDocument/2006/relationships/hyperlink" Target="https://dalil.kg/document/111890#st_15" TargetMode="External"/><Relationship Id="rIdubrrnxwahsdumee4koye9" Type="http://schemas.openxmlformats.org/officeDocument/2006/relationships/hyperlink" Target="https://dalil.kg/document/111890#st_2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xxqiqtbikwml4erwijj" Type="http://schemas.openxmlformats.org/officeDocument/2006/relationships/hyperlink" Target="https://dalil.kg/document/112422" TargetMode="External"/><Relationship Id="rIdyj8oqihu8iocvh_ts4h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2026-09-24T16:29:24.528Z</dcterms:created>
  <dcterms:modified xsi:type="dcterms:W3CDTF">2026-09-24T16:29:24.528Z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