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8tm_l1jx3rwa_wbrekl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nkyyx0edvrezh5lbz-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13 </w:t>
      </w:r>
      <w:hyperlink w:history="1" r:id="rIdsnsaddikigh5gn-1v3k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малопродуктивные сельскохозяйственные угодья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сельскохозяйственные угодья с баллом бонитета почв не выше 20 или с урожайностью в кормовых единицах менее 0,8 ц/га (для сенокосов и пастбищ), неблагоприятные в мелиоративном отношении и требующие проведения мероприятий по их улучшению;";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p6ncrkwgbbd18w1ip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6,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Малопродуктивные пастбища могут предоставляться в пользование гражданам и юридическим лицам Кыргызской Республики для освоения и ведения сельскохозяйственного производства сроком до 20 лет после изменения целевого назначения земель в установленном порядке с последующим включением в состав земель Государственного фонда сельскохозяйственных угодий. По истечении данного срока по согласованию сторон сроки пользования земельным участком могут быть продлены.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при предоставлении в пользование малопродуктивных пастбищ после изменения целевого назначения земель является повышение продуктивности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малопродуктивных пастбищ для освоения и ведения сельскохозяйственного производства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подлежат предоставлению под освоение и ведение сельскохозяйственного производства малопродуктивные сельскохозяйственные угодья, занятые скотопрогонами, территории, на которых обитают эндемичные виды фауны и произрастают эндемичные виды растительности.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подлежат предоставлению в пользование малопродуктивные пастбища без наличия положительного заключения уполномоченного органа в сфере историко-культурного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6gghoiy1xjdsbhu6d3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(Ведомости Жогорку Кенеша Кыргызской Республики, 2009 г., № 1, ст.30) следующее изменение:</w:t>
      </w:r>
    </w:p>
    <w:p>
      <w:pPr>
        <w:spacing w:after="120"/>
        <w:jc w:val="both"/>
      </w:pPr>
      <w:hyperlink w:history="1" r:id="rIdydvzrhj3tlt0huqalfn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Малопродуктивные пастбища</w:t>
      </w:r>
      <w:r>
        <w:rPr>
          <w:rFonts w:ascii="Arial" w:cs="Arial" w:eastAsia="Arial" w:hAnsi="Arial"/>
          <w:sz w:val="24"/>
          <w:szCs w:val="24"/>
        </w:rPr>
        <w:t xml:space="preserve"> - пастбища с урожайностью в кормовых единицах менее 0,8 ц/га (для сенокосов и пастбищ), неблагоприятные в мелиоративном отношении и требующие проведения мероприятий по их улучшению.".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3oxkeppyzjifoy9wu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dalil.kg/document/112427</w:t>
      </w:r>
    </w:hyperlink>
  </w:p>
  <w:p>
    <w:pPr>
      <w:spacing w:after="0" w:before="40"/>
      <w:jc w:val="center"/>
    </w:pPr>
    <w:hyperlink w:history="1" r:id="rId3echpxfjqrr9yeph9ti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m_l1jx3rwa_wbrekliv" Type="http://schemas.openxmlformats.org/officeDocument/2006/relationships/hyperlink" Target="https://dalil.kg/document/230029580" TargetMode="External"/><Relationship Id="rIdnkyyx0edvrezh5lbz-otf" Type="http://schemas.openxmlformats.org/officeDocument/2006/relationships/hyperlink" Target="https://dalil.kg/document/8" TargetMode="External"/><Relationship Id="rIdsnsaddikigh5gn-1v3ks7" Type="http://schemas.openxmlformats.org/officeDocument/2006/relationships/hyperlink" Target="https://dalil.kg/document/8#st_1" TargetMode="External"/><Relationship Id="rIdsp6ncrkwgbbd18w1ipmoa" Type="http://schemas.openxmlformats.org/officeDocument/2006/relationships/hyperlink" Target="https://dalil.kg/document/8#st_30" TargetMode="External"/><Relationship Id="rIde6gghoiy1xjdsbhu6d39r" Type="http://schemas.openxmlformats.org/officeDocument/2006/relationships/hyperlink" Target="https://dalil.kg/document/202594" TargetMode="External"/><Relationship Id="rIdydvzrhj3tlt0huqalfncm" Type="http://schemas.openxmlformats.org/officeDocument/2006/relationships/hyperlink" Target="https://dalil.kg/document/202594#st_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3oxkeppyzjifoy9wuej" Type="http://schemas.openxmlformats.org/officeDocument/2006/relationships/hyperlink" Target="https://dalil.kg/document/112427" TargetMode="External"/><Relationship Id="rId3echpxfjqrr9yeph9ti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2026-09-24T11:35:28.032Z</dcterms:created>
  <dcterms:modified xsi:type="dcterms:W3CDTF">2026-09-24T11:35:28.032Z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