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dyvtwutbnivls_cauen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349</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pqx0n7vehzgr4-zvnxv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854</w:t>
      </w:r>
    </w:p>
    <w:p>
      <w:pPr>
        <w:spacing w:after="400" w:before="400"/>
        <w:jc w:val="center"/>
      </w:pPr>
      <w:r>
        <w:rPr>
          <w:rFonts w:ascii="Arial" w:cs="Arial" w:eastAsia="Arial" w:hAnsi="Arial"/>
          <w:b/>
          <w:bCs/>
          <w:sz w:val="32"/>
          <w:szCs w:val="32"/>
        </w:rPr>
        <w:t xml:space="preserve">ИНСТРУКЦИЯ
 о порядке формирования, рассмотрения и исполнения среднесрочных стратегий бюджетных расходов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Проекты среднесрочных стратегий бюджетных расходов (далее - ССБР) формируются главными распорядителями бюджетных средств (далее - главные распорядители). Перечень главных распорядителей, формирующих ССБР, определяется решением Правительства Кыргызской Республики (далее - Правительство).</w:t>
      </w:r>
    </w:p>
    <w:p>
      <w:pPr>
        <w:spacing w:after="60"/>
        <w:ind w:firstLine="567"/>
        <w:jc w:val="both"/>
      </w:pPr>
      <w:r>
        <w:rPr>
          <w:rFonts w:ascii="Arial" w:cs="Arial" w:eastAsia="Arial" w:hAnsi="Arial"/>
          <w:sz w:val="24"/>
          <w:szCs w:val="24"/>
        </w:rPr>
        <w:t xml:space="preserve">2. ССБР подлежит ежегодному обновлению и уточнению.</w:t>
      </w:r>
    </w:p>
    <w:p>
      <w:pPr>
        <w:spacing w:after="60"/>
        <w:ind w:firstLine="567"/>
        <w:jc w:val="both"/>
      </w:pPr>
      <w:r>
        <w:rPr>
          <w:rFonts w:ascii="Arial" w:cs="Arial" w:eastAsia="Arial" w:hAnsi="Arial"/>
          <w:sz w:val="24"/>
          <w:szCs w:val="24"/>
        </w:rPr>
        <w:t xml:space="preserve">3. Подготовка и рассмотрение проекта ССБР осуществляется по графику, приведенному в таблице 1.</w:t>
      </w:r>
    </w:p>
    <w:p>
      <w:pPr>
        <w:spacing w:after="240" w:before="240"/>
        <w:ind w:firstLine="567"/>
        <w:jc w:val="right"/>
      </w:pPr>
      <w:r>
        <w:rPr>
          <w:rFonts w:ascii="Arial" w:cs="Arial" w:eastAsia="Arial" w:hAnsi="Arial"/>
          <w:sz w:val="24"/>
          <w:szCs w:val="24"/>
        </w:rPr>
        <w:t xml:space="preserve">Таблица 1</w:t>
      </w:r>
    </w:p>
    <w:p>
      <w:pPr>
        <w:spacing w:after="240" w:before="240"/>
        <w:jc w:val="center"/>
      </w:pPr>
      <w:r>
        <w:rPr>
          <w:rFonts w:ascii="Arial" w:cs="Arial" w:eastAsia="Arial" w:hAnsi="Arial"/>
          <w:b/>
          <w:bCs/>
          <w:sz w:val="32"/>
          <w:szCs w:val="32"/>
        </w:rPr>
        <w:t xml:space="preserve">График ежегодного цикла формирования ССБР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715"/>
        <w:gridCol w:w="2046"/>
        <w:gridCol w:w="99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Этапы</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органы</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календарного плана и его утверждение решением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 Соцфонд, ФОМС, Правительство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февраля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подготовки главными распорядителями проекта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проекта ССБР на официальном веб-сайте главного распорядителя и оповещение о проведении общественных слушаний</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общественных слушаний по проекту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 апреля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ССБР в УГО</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и согласование финансовых параметров проекта ССБР</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 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Обобщение представленных проектов ССБР для включения в проект документа "Основные направления фискальной политики на среднесрочный период" (далее - ОНФП)</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проекта документа ОНФП и материалов по имеющимся разногласиям в Совет Правительства Кыргызской Республики по фискальной и инвестиционной политике (далее - Совет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мая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проекта документа ОНФП и устранение разногласий по контрольным цифрам</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 Правительства</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проекта документа ОНФП по итогам устранения разногласий и представление на рассмотрение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 главные распорядители</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июня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документа ОНФП постановлением Правительства</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ОНФП на официальном веб-сайте УГО</w:t>
            </w:r>
          </w:p>
        </w:tc>
        <w:tc>
          <w:tcPr>
            <w:tcW w:type="dxa" w:w="2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июля</w:t>
            </w:r>
          </w:p>
        </w:tc>
      </w:tr>
    </w:tbl>
    <w:p>
      <w:pPr>
        <w:spacing w:after="60" w:before="60"/>
        <w:ind w:firstLine="567"/>
        <w:jc w:val="both"/>
      </w:pPr>
      <w:r>
        <w:rPr>
          <w:rFonts w:ascii="Arial" w:cs="Arial" w:eastAsia="Arial" w:hAnsi="Arial"/>
          <w:sz w:val="24"/>
          <w:szCs w:val="24"/>
        </w:rPr>
        <w:t xml:space="preserve">4. Основные понятия и термины, используемые в настоящей Инструкции:</w:t>
      </w:r>
    </w:p>
    <w:p>
      <w:pPr>
        <w:spacing w:after="60"/>
        <w:ind w:firstLine="567"/>
        <w:jc w:val="both"/>
      </w:pP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(мероприятия,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мер, направленных на реализацию отраслевых/секторальных программ развития и программ социально-экономического развития территорий;</w:t>
      </w:r>
    </w:p>
    <w:p>
      <w:pPr>
        <w:spacing w:after="60"/>
        <w:ind w:firstLine="567"/>
        <w:jc w:val="both"/>
      </w:pP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на достижение целей сектора/отрасли или в качестве критериев оценки деятельности главного распорядителя;</w:t>
      </w:r>
    </w:p>
    <w:p>
      <w:pPr>
        <w:spacing w:after="60"/>
        <w:ind w:firstLine="567"/>
        <w:jc w:val="both"/>
      </w:pPr>
      <w:r>
        <w:rPr>
          <w:rFonts w:ascii="Arial" w:cs="Arial" w:eastAsia="Arial" w:hAnsi="Arial"/>
          <w:b/>
          <w:bCs/>
          <w:sz w:val="24"/>
          <w:szCs w:val="24"/>
        </w:rPr>
        <w:t xml:space="preserve">стратегическая цель</w:t>
      </w:r>
      <w:r>
        <w:rPr>
          <w:rFonts w:ascii="Arial" w:cs="Arial" w:eastAsia="Arial" w:hAnsi="Arial"/>
          <w:sz w:val="24"/>
          <w:szCs w:val="24"/>
        </w:rPr>
        <w:t xml:space="preserve"> - конкретное состояние сектора/отрасли, достижение которого является желательным с общественной точки зрения;</w:t>
      </w:r>
    </w:p>
    <w:p>
      <w:pPr>
        <w:spacing w:after="60"/>
        <w:ind w:firstLine="567"/>
        <w:jc w:val="both"/>
      </w:pP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которого осуществляется формирование расходов бюджетных учреждений;</w:t>
      </w:r>
    </w:p>
    <w:p>
      <w:pPr>
        <w:spacing w:after="60"/>
        <w:ind w:firstLine="567"/>
        <w:jc w:val="both"/>
      </w:pP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200" w:before="200"/>
        <w:jc w:val="center"/>
      </w:pPr>
      <w:r>
        <w:rPr>
          <w:rFonts w:ascii="Arial" w:cs="Arial" w:eastAsia="Arial" w:hAnsi="Arial"/>
          <w:b/>
          <w:bCs/>
          <w:sz w:val="24"/>
          <w:szCs w:val="24"/>
        </w:rPr>
        <w:t xml:space="preserve">2. Организация процесса</w:t>
      </w:r>
    </w:p>
    <w:p>
      <w:pPr>
        <w:spacing w:after="60"/>
        <w:ind w:firstLine="567"/>
        <w:jc w:val="both"/>
      </w:pPr>
      <w:r>
        <w:rPr>
          <w:rFonts w:ascii="Arial" w:cs="Arial" w:eastAsia="Arial" w:hAnsi="Arial"/>
          <w:sz w:val="24"/>
          <w:szCs w:val="24"/>
        </w:rPr>
        <w:t xml:space="preserve">5. Главные распорядители создают рабочую группу из числа представителей профильных, стратегических, экономических и финансовых подразделений и подведомственных организаций (далее - рабочая группа). Рабочую группу возглавляет статс-секретарь. В государственных органах, в которых не учреждена должность статс-секретаря, рабочую группу возглавляют руководители аппаратов этих государственных органов. Главный распорядитель в срок до 20 марта направляет в уполномоченный государственный орган копию ведомственного акта о создании рабочей группы, а также контактные данные ответственного сотрудника, осуществляющего взаимодействие с уполномоченным государственным органом.</w:t>
      </w:r>
    </w:p>
    <w:p>
      <w:pPr>
        <w:spacing w:after="60"/>
        <w:ind w:firstLine="567"/>
        <w:jc w:val="both"/>
      </w:pPr>
      <w:r>
        <w:rPr>
          <w:rFonts w:ascii="Arial" w:cs="Arial" w:eastAsia="Arial" w:hAnsi="Arial"/>
          <w:sz w:val="24"/>
          <w:szCs w:val="24"/>
        </w:rPr>
        <w:t xml:space="preserve">6. Проекты ССБР, включающие в себя проект структуры бюджетных программ и мер, бюджетные программы в разрезе источников финансирования, описание бюджетных мер, стоимость бюджетных программ и мер в разрезе экономической классификации по бюджетным средствам на очередной бюджетный год, стоимость бюджетных программ и мер в разрезе экономической классификации по средствам, аккумулируемым на специальных счетах, на очередной бюджетный год формируются по формам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 </w:t>
      </w:r>
      <w:r>
        <w:rPr>
          <w:rFonts w:ascii="Arial" w:cs="Arial" w:eastAsia="Arial" w:hAnsi="Arial"/>
          <w:sz w:val="24"/>
          <w:szCs w:val="24"/>
        </w:rPr>
        <w:t xml:space="preserve">4-1</w:t>
      </w:r>
      <w:r>
        <w:rPr>
          <w:rFonts w:ascii="Arial" w:cs="Arial" w:eastAsia="Arial" w:hAnsi="Arial"/>
          <w:sz w:val="24"/>
          <w:szCs w:val="24"/>
        </w:rPr>
        <w:t xml:space="preserve"> и </w:t>
      </w:r>
      <w:r>
        <w:rPr>
          <w:rFonts w:ascii="Arial" w:cs="Arial" w:eastAsia="Arial" w:hAnsi="Arial"/>
          <w:sz w:val="24"/>
          <w:szCs w:val="24"/>
        </w:rPr>
        <w:t xml:space="preserve">4-2</w:t>
      </w:r>
      <w:r>
        <w:rPr>
          <w:rFonts w:ascii="Arial" w:cs="Arial" w:eastAsia="Arial" w:hAnsi="Arial"/>
          <w:sz w:val="24"/>
          <w:szCs w:val="24"/>
        </w:rPr>
        <w:t xml:space="preserve"> и </w:t>
      </w:r>
      <w:r>
        <w:rPr>
          <w:rFonts w:ascii="Arial" w:cs="Arial" w:eastAsia="Arial" w:hAnsi="Arial"/>
          <w:sz w:val="24"/>
          <w:szCs w:val="24"/>
        </w:rPr>
        <w:t xml:space="preserve">5</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7. В случае, если в управлении и реализации политики задействовано несколько главных распорядителей, создаются межведомственные рабочие группы по согласованию с УГО. Рабочая группа выполняет следующие функции:</w:t>
      </w:r>
    </w:p>
    <w:p>
      <w:pPr>
        <w:spacing w:after="60"/>
        <w:ind w:firstLine="567"/>
        <w:jc w:val="both"/>
      </w:pPr>
      <w:r>
        <w:rPr>
          <w:rFonts w:ascii="Arial" w:cs="Arial" w:eastAsia="Arial" w:hAnsi="Arial"/>
          <w:sz w:val="24"/>
          <w:szCs w:val="24"/>
        </w:rPr>
        <w:t xml:space="preserve">1) координация и организация работы по формированию/обновлению проекта ССБР;</w:t>
      </w:r>
    </w:p>
    <w:p>
      <w:pPr>
        <w:spacing w:after="60"/>
        <w:ind w:firstLine="567"/>
        <w:jc w:val="both"/>
      </w:pPr>
      <w:r>
        <w:rPr>
          <w:rFonts w:ascii="Arial" w:cs="Arial" w:eastAsia="Arial" w:hAnsi="Arial"/>
          <w:sz w:val="24"/>
          <w:szCs w:val="24"/>
        </w:rPr>
        <w:t xml:space="preserve">2) обсуждение ключевых вопросов, принятие решений по приоритетам в распределении бюджетных расходов, формулировка бюджетных программ и мер, определение их стоимости, подбор индикаторов результативности, подготовка и представление проекта ССБР в УГО.</w:t>
      </w:r>
    </w:p>
    <w:p>
      <w:pPr>
        <w:spacing w:after="120"/>
        <w:ind w:firstLine="567"/>
        <w:jc w:val="both"/>
      </w:pPr>
      <w:r>
        <w:rPr>
          <w:rFonts w:ascii="Arial" w:cs="Arial" w:eastAsia="Arial" w:hAnsi="Arial"/>
          <w:sz w:val="24"/>
          <w:szCs w:val="24"/>
        </w:rPr>
        <w:t xml:space="preserve">8. Деятельность рабочей группы осуществляется в соответствии со следующим графиком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9"/>
        <w:gridCol w:w="7108"/>
        <w:gridCol w:w="851"/>
      </w:tblGrid>
      <w:tr>
        <w:tc>
          <w:tcPr>
            <w:tcW w:type="dxa" w:w="22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Этап</w:t>
            </w:r>
          </w:p>
        </w:tc>
        <w:tc>
          <w:tcPr>
            <w:tcW w:type="dxa" w:w="71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22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Инициирование процесса подготовки проекта ССБР</w:t>
            </w: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Утверждение ведомственным актом состава рабочей группы. Назначение сотрудника, ответственного за взаимодействие с УГО по вопросам подготовки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18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Направление в УГО копии ведомственного акта о создании рабочей группы, а также контактных данных ответственного сотрудника, осуществляющего контакт с УГО по вопросам подготовки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Проведение одной или нескольких встреч рабочей группы по обсуждению основных направлений отраслевой политики, определению бюджетных программ проекта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25 марта</w:t>
            </w:r>
          </w:p>
        </w:tc>
      </w:tr>
      <w:tr>
        <w:tc>
          <w:tcPr>
            <w:tcW w:type="dxa" w:w="221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Процесс разработки ССБР</w:t>
            </w: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Определение профильными департаментами и подведомственными организациями бюджетных мер, подготовка их описания и финансовых расчетов к ним (по форме согласно </w:t>
            </w:r>
            <w:hyperlink w:history="1" r:id="rIdgumzlz75ygdp5bax-qps-">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марта</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Представление профильными департаментами и подведомственными организациями описательной части и финансовых расчетов по бюджетным мерам (по форме согласно приложениям </w:t>
            </w:r>
            <w:hyperlink w:history="1" r:id="rIdtpyi7d_a92hxkujbhhnnv">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nq7hvyhpxkjopsmj_p5pa">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настоящей Инструкции) для обсуждения на заседании рабочей группы</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Выработка профильными департаментами и подведомственными организациями предложений по индикаторам результативности для бюджетных программ и мер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Обсуждение и согласование бюджетных программ и мер, их индикаторов результативности на заседаниях рабочей группы, с участием представителей Общественного совета (при наличии)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Формирование пояснительной записки по форме согласно </w:t>
            </w:r>
            <w:hyperlink w:history="1" r:id="rIds5sdeg5u2jjcwj6mxiyd6">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и заполнение таблиц по форме согласно приложениям </w:t>
            </w:r>
            <w:hyperlink w:history="1" r:id="rId3ry3vxcufqd_yppajvn2m">
              <w:r>
                <w:rPr>
                  <w:rFonts w:ascii="Arial" w:cs="Arial" w:eastAsia="Arial" w:hAnsi="Arial"/>
                  <w:color w:val="1D4ED8"/>
                  <w:sz w:val="24"/>
                  <w:szCs w:val="24"/>
                  <w:u w:val="single"/>
                </w:rPr>
                <w:t xml:space="preserve">1</w:t>
              </w:r>
            </w:hyperlink>
            <w:r>
              <w:rPr>
                <w:rFonts w:ascii="Arial" w:cs="Arial" w:eastAsia="Arial" w:hAnsi="Arial"/>
                <w:sz w:val="24"/>
                <w:szCs w:val="24"/>
              </w:rPr>
              <w:t xml:space="preserve"> - </w:t>
            </w:r>
            <w:hyperlink w:history="1" r:id="rIdn6yxms9kur-mh3zw6jk9x">
              <w:r>
                <w:rPr>
                  <w:rFonts w:ascii="Arial" w:cs="Arial" w:eastAsia="Arial" w:hAnsi="Arial"/>
                  <w:color w:val="1D4ED8"/>
                  <w:sz w:val="24"/>
                  <w:szCs w:val="24"/>
                  <w:u w:val="single"/>
                </w:rPr>
                <w:t xml:space="preserve">4-1</w:t>
              </w:r>
            </w:hyperlink>
            <w:r>
              <w:rPr>
                <w:rFonts w:ascii="Arial" w:cs="Arial" w:eastAsia="Arial" w:hAnsi="Arial"/>
                <w:sz w:val="24"/>
                <w:szCs w:val="24"/>
              </w:rPr>
              <w:t xml:space="preserve"> и </w:t>
            </w:r>
            <w:hyperlink w:history="1" r:id="rIdukd9gu70aepo_fldm81ij">
              <w:r>
                <w:rPr>
                  <w:rFonts w:ascii="Arial" w:cs="Arial" w:eastAsia="Arial" w:hAnsi="Arial"/>
                  <w:color w:val="1D4ED8"/>
                  <w:sz w:val="24"/>
                  <w:szCs w:val="24"/>
                  <w:u w:val="single"/>
                </w:rPr>
                <w:t xml:space="preserve">4-2</w:t>
              </w:r>
            </w:hyperlink>
            <w:r>
              <w:rPr>
                <w:rFonts w:ascii="Arial" w:cs="Arial" w:eastAsia="Arial" w:hAnsi="Arial"/>
                <w:sz w:val="24"/>
                <w:szCs w:val="24"/>
              </w:rPr>
              <w:t xml:space="preserve"> к настоящей Инструкции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Общественное обсуждение проекта ССБР и проведение оценки приоритетности</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27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Доработка проекта ССБР с учетом замечаний и предложений по итогам проведения общественных слушаний по проекту ССБР</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28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 Одобрение проекта ССБР руководителем главного распорядителя</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апреля</w:t>
            </w:r>
          </w:p>
        </w:tc>
      </w:tr>
      <w:tr>
        <w:tc>
          <w:tcPr>
            <w:vMerge w:val="continue"/>
            <w:tcBorders>
              <w:top w:val="none" w:color="auto" w:sz="0"/>
              <w:left w:val="single" w:color="CBBF9E" w:sz="4"/>
              <w:bottom w:val="single" w:color="CBBF9E" w:sz="4"/>
              <w:right w:val="single" w:color="CBBF9E" w:sz="4"/>
            </w:tcBorders>
          </w:tcPr>
          <w:p/>
        </w:tc>
        <w:tc>
          <w:tcPr>
            <w:tcW w:type="dxa" w:w="7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 Представление проекта ССБР в УГО</w:t>
            </w:r>
          </w:p>
        </w:tc>
        <w:tc>
          <w:tcPr>
            <w:tcW w:type="dxa" w:w="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w:t>
            </w:r>
          </w:p>
        </w:tc>
      </w:tr>
    </w:tbl>
    <w:p>
      <w:pPr>
        <w:spacing w:after="60" w:before="60"/>
        <w:ind w:firstLine="567"/>
        <w:jc w:val="both"/>
      </w:pPr>
      <w:r>
        <w:rPr>
          <w:rFonts w:ascii="Arial" w:cs="Arial" w:eastAsia="Arial" w:hAnsi="Arial"/>
          <w:sz w:val="24"/>
          <w:szCs w:val="24"/>
        </w:rPr>
        <w:t xml:space="preserve">9. Проект ССБР одобряется руководителем главного распорядителя до представления в УГО. Для секторов/отраслей, в управлении и реализации политики которых задействовано несколько главных распорядителей, проект ССБР одобряется подписями руководителей, входящих в них главных распорядителей.</w:t>
      </w:r>
    </w:p>
    <w:p>
      <w:pPr>
        <w:spacing w:after="60"/>
        <w:ind w:firstLine="567"/>
        <w:jc w:val="both"/>
      </w:pPr>
      <w:r>
        <w:rPr>
          <w:rFonts w:ascii="Arial" w:cs="Arial" w:eastAsia="Arial" w:hAnsi="Arial"/>
          <w:sz w:val="24"/>
          <w:szCs w:val="24"/>
        </w:rPr>
        <w:t xml:space="preserve">10. Проект ССБР представляется в уполномоченный государственный орган в срок до 1 мая текущего года на бумажном и электронном носителях на государственном и официальном языках. Электронные форматы документов для заполнения предоставляются уполномоченным государственным органом. Изменение форматирования и шрифтов электронных таблиц при их заполнении не допускается.</w:t>
      </w:r>
    </w:p>
    <w:p>
      <w:pPr>
        <w:spacing w:after="60"/>
        <w:ind w:firstLine="567"/>
        <w:jc w:val="both"/>
      </w:pPr>
      <w:r>
        <w:rPr>
          <w:rFonts w:ascii="Arial" w:cs="Arial" w:eastAsia="Arial" w:hAnsi="Arial"/>
          <w:sz w:val="24"/>
          <w:szCs w:val="24"/>
        </w:rPr>
        <w:t xml:space="preserve">11. Пакет документов по проекту ССБР формируется и представляется в УГО в соответствии с </w:t>
      </w:r>
      <w:hyperlink w:history="1" r:id="rId5frj9po2ifatk6gyojiws">
        <w:r>
          <w:rPr>
            <w:rFonts w:ascii="Arial" w:cs="Arial" w:eastAsia="Arial" w:hAnsi="Arial"/>
            <w:color w:val="1D4ED8"/>
            <w:sz w:val="24"/>
            <w:szCs w:val="24"/>
            <w:u w:val="single"/>
          </w:rPr>
          <w:t xml:space="preserve">приложением 6</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3. Ресурсная основа ССБР</w:t>
      </w:r>
    </w:p>
    <w:p>
      <w:pPr>
        <w:spacing w:after="60"/>
        <w:ind w:firstLine="567"/>
        <w:jc w:val="both"/>
      </w:pPr>
      <w:r>
        <w:rPr>
          <w:rFonts w:ascii="Arial" w:cs="Arial" w:eastAsia="Arial" w:hAnsi="Arial"/>
          <w:sz w:val="24"/>
          <w:szCs w:val="24"/>
        </w:rPr>
        <w:t xml:space="preserve">12. Ресурсной основой формирования проекта ССБР являются контрольные цифры, определенные ОНФП предыдущего бюджетного цикла.</w:t>
      </w:r>
    </w:p>
    <w:p>
      <w:pPr>
        <w:spacing w:after="60"/>
        <w:ind w:firstLine="567"/>
        <w:jc w:val="both"/>
      </w:pPr>
      <w:r>
        <w:rPr>
          <w:rFonts w:ascii="Arial" w:cs="Arial" w:eastAsia="Arial" w:hAnsi="Arial"/>
          <w:sz w:val="24"/>
          <w:szCs w:val="24"/>
        </w:rPr>
        <w:t xml:space="preserve">13. Общая сумма расходов по бюджетным программам, представленным в проекте ССБР, должна соответствовать контрольной цифре по главному распорядителю, с учетом структурных изменений, произошедших с момента утверждения контрольных цифр. В случае формирования проекта ССБР совместно несколькими главными распорядителями, общая сумма расходов по бюджетным программам, представленным в проекте ССБР, должна соответствовать общей сумме контрольных цифр по главным распорядителям, формирующим проект ССБР, с учетом структурных изменений, произошедших с момента утверждения контрольных цифр.</w:t>
      </w:r>
    </w:p>
    <w:p>
      <w:pPr>
        <w:spacing w:after="60"/>
        <w:ind w:firstLine="567"/>
        <w:jc w:val="both"/>
      </w:pPr>
      <w:r>
        <w:rPr>
          <w:rFonts w:ascii="Arial" w:cs="Arial" w:eastAsia="Arial" w:hAnsi="Arial"/>
          <w:sz w:val="24"/>
          <w:szCs w:val="24"/>
        </w:rPr>
        <w:t xml:space="preserve">14. Бюджетные программы/меры, требующие неотложного финансирования, выходящего за рамки контрольных цифр, представляются в форме описания бюджетной программы/меры в виде отдельного приложения к проекту ССБР. При этом суммарный объем требуемого дополнительного финансирования не должен превышать 5 процентов от суммы контрольной цифры по главному распорядителю.</w:t>
      </w:r>
    </w:p>
    <w:p>
      <w:pPr>
        <w:spacing w:after="60"/>
        <w:ind w:firstLine="567"/>
        <w:jc w:val="both"/>
      </w:pPr>
      <w:r>
        <w:rPr>
          <w:rFonts w:ascii="Arial" w:cs="Arial" w:eastAsia="Arial" w:hAnsi="Arial"/>
          <w:sz w:val="24"/>
          <w:szCs w:val="24"/>
        </w:rPr>
        <w:t xml:space="preserve">15. Для отражения приоритетов, планируемых к реализации при получении дополнительных ассигнований, бюджетные программы/меры, связанные с реализацией приоритетов национального стратегического/программного документа и/или секторальных/отраслевых стратегических и программных документов, отражаются в проекте ССБР с нулевым объемом финансирования, если по ним не предусмотрено бюджетное финансирование.</w:t>
      </w:r>
    </w:p>
    <w:p>
      <w:pPr>
        <w:spacing w:after="60"/>
        <w:ind w:firstLine="567"/>
        <w:jc w:val="both"/>
      </w:pPr>
      <w:r>
        <w:rPr>
          <w:rFonts w:ascii="Arial" w:cs="Arial" w:eastAsia="Arial" w:hAnsi="Arial"/>
          <w:sz w:val="24"/>
          <w:szCs w:val="24"/>
        </w:rPr>
        <w:t xml:space="preserve">16. При наличии внебюджетных источников финансирования программ (средства партнеров по развитию, частные инвестиции, средства местных бюджетов) вышеуказанные средства указываются отдельной строкой.</w:t>
      </w:r>
    </w:p>
    <w:p>
      <w:pPr>
        <w:spacing w:after="60"/>
        <w:ind w:firstLine="567"/>
        <w:jc w:val="both"/>
      </w:pPr>
      <w:r>
        <w:rPr>
          <w:rFonts w:ascii="Arial" w:cs="Arial" w:eastAsia="Arial" w:hAnsi="Arial"/>
          <w:sz w:val="24"/>
          <w:szCs w:val="24"/>
        </w:rPr>
        <w:t xml:space="preserve">17. По итогам заседания Совета Правительства Кыргызской Республики по рассмотрению ОНФП главные распорядители в трехдневный срок корректируют проекты ССБР в соответствии с решением Совета Правительства и представляют в УГО.</w:t>
      </w:r>
    </w:p>
    <w:p>
      <w:pPr>
        <w:spacing w:after="200" w:before="200"/>
        <w:jc w:val="center"/>
      </w:pPr>
      <w:r>
        <w:rPr>
          <w:rFonts w:ascii="Arial" w:cs="Arial" w:eastAsia="Arial" w:hAnsi="Arial"/>
          <w:b/>
          <w:bCs/>
          <w:sz w:val="24"/>
          <w:szCs w:val="24"/>
        </w:rPr>
        <w:t xml:space="preserve">4. Формат и порядок подготовки проекта ССБР</w:t>
      </w:r>
    </w:p>
    <w:p>
      <w:pPr>
        <w:spacing w:after="60"/>
        <w:ind w:firstLine="567"/>
        <w:jc w:val="both"/>
      </w:pPr>
      <w:r>
        <w:rPr>
          <w:rFonts w:ascii="Arial" w:cs="Arial" w:eastAsia="Arial" w:hAnsi="Arial"/>
          <w:sz w:val="24"/>
          <w:szCs w:val="24"/>
        </w:rPr>
        <w:t xml:space="preserve">18. Процесс формирования проекта ССБР состоит из следующих шагов:</w:t>
      </w:r>
    </w:p>
    <w:p>
      <w:pPr>
        <w:spacing w:after="60"/>
        <w:ind w:firstLine="567"/>
        <w:jc w:val="both"/>
      </w:pPr>
      <w:r>
        <w:rPr>
          <w:rFonts w:ascii="Arial" w:cs="Arial" w:eastAsia="Arial" w:hAnsi="Arial"/>
          <w:sz w:val="24"/>
          <w:szCs w:val="24"/>
        </w:rPr>
        <w:t xml:space="preserve">1) описание сектора/отрасли;</w:t>
      </w:r>
    </w:p>
    <w:p>
      <w:pPr>
        <w:spacing w:after="60"/>
        <w:ind w:firstLine="567"/>
        <w:jc w:val="both"/>
      </w:pPr>
      <w:r>
        <w:rPr>
          <w:rFonts w:ascii="Arial" w:cs="Arial" w:eastAsia="Arial" w:hAnsi="Arial"/>
          <w:sz w:val="24"/>
          <w:szCs w:val="24"/>
        </w:rPr>
        <w:t xml:space="preserve">2) определение стратегической цели;</w:t>
      </w:r>
    </w:p>
    <w:p>
      <w:pPr>
        <w:spacing w:after="60"/>
        <w:ind w:firstLine="567"/>
        <w:jc w:val="both"/>
      </w:pPr>
      <w:r>
        <w:rPr>
          <w:rFonts w:ascii="Arial" w:cs="Arial" w:eastAsia="Arial" w:hAnsi="Arial"/>
          <w:sz w:val="24"/>
          <w:szCs w:val="24"/>
        </w:rPr>
        <w:t xml:space="preserve">3) определение задач;</w:t>
      </w:r>
    </w:p>
    <w:p>
      <w:pPr>
        <w:spacing w:after="60"/>
        <w:ind w:firstLine="567"/>
        <w:jc w:val="both"/>
      </w:pPr>
      <w:r>
        <w:rPr>
          <w:rFonts w:ascii="Arial" w:cs="Arial" w:eastAsia="Arial" w:hAnsi="Arial"/>
          <w:sz w:val="24"/>
          <w:szCs w:val="24"/>
        </w:rPr>
        <w:t xml:space="preserve">4) формулирование бюджетных программ;</w:t>
      </w:r>
    </w:p>
    <w:p>
      <w:pPr>
        <w:spacing w:after="60"/>
        <w:ind w:firstLine="567"/>
        <w:jc w:val="both"/>
      </w:pPr>
      <w:r>
        <w:rPr>
          <w:rFonts w:ascii="Arial" w:cs="Arial" w:eastAsia="Arial" w:hAnsi="Arial"/>
          <w:sz w:val="24"/>
          <w:szCs w:val="24"/>
        </w:rPr>
        <w:t xml:space="preserve">5) описание бюджетных мер;</w:t>
      </w:r>
    </w:p>
    <w:p>
      <w:pPr>
        <w:spacing w:after="60"/>
        <w:ind w:firstLine="567"/>
        <w:jc w:val="both"/>
      </w:pPr>
      <w:r>
        <w:rPr>
          <w:rFonts w:ascii="Arial" w:cs="Arial" w:eastAsia="Arial" w:hAnsi="Arial"/>
          <w:sz w:val="24"/>
          <w:szCs w:val="24"/>
        </w:rPr>
        <w:t xml:space="preserve">6) определение стоимости бюджетных программ и мер;</w:t>
      </w:r>
    </w:p>
    <w:p>
      <w:pPr>
        <w:spacing w:after="60"/>
        <w:ind w:firstLine="567"/>
        <w:jc w:val="both"/>
      </w:pPr>
      <w:r>
        <w:rPr>
          <w:rFonts w:ascii="Arial" w:cs="Arial" w:eastAsia="Arial" w:hAnsi="Arial"/>
          <w:sz w:val="24"/>
          <w:szCs w:val="24"/>
        </w:rPr>
        <w:t xml:space="preserve">7) определение индикаторов результативности;</w:t>
      </w:r>
    </w:p>
    <w:p>
      <w:pPr>
        <w:spacing w:after="60"/>
        <w:ind w:firstLine="567"/>
        <w:jc w:val="both"/>
      </w:pPr>
      <w:r>
        <w:rPr>
          <w:rFonts w:ascii="Arial" w:cs="Arial" w:eastAsia="Arial" w:hAnsi="Arial"/>
          <w:sz w:val="24"/>
          <w:szCs w:val="24"/>
        </w:rPr>
        <w:t xml:space="preserve">8) анализ финансирования.</w:t>
      </w:r>
    </w:p>
    <w:p>
      <w:pPr>
        <w:spacing w:after="60"/>
        <w:ind w:firstLine="567"/>
        <w:jc w:val="both"/>
      </w:pPr>
      <w:r>
        <w:rPr>
          <w:rFonts w:ascii="Arial" w:cs="Arial" w:eastAsia="Arial" w:hAnsi="Arial"/>
          <w:sz w:val="24"/>
          <w:szCs w:val="24"/>
        </w:rPr>
        <w:t xml:space="preserve">19. Каждый шаг процесса формирования проекта ССБР сопровождается описанием. Требования к содержанию и описанию разделов ССБР изложены в </w:t>
      </w:r>
      <w:hyperlink w:history="1" r:id="rIdxefpycjqdxas53h3gncqb">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1. Описание сектора/отрасли</w:t>
      </w:r>
    </w:p>
    <w:p>
      <w:pPr>
        <w:spacing w:after="60"/>
        <w:ind w:firstLine="567"/>
        <w:jc w:val="both"/>
      </w:pPr>
      <w:r>
        <w:rPr>
          <w:rFonts w:ascii="Arial" w:cs="Arial" w:eastAsia="Arial" w:hAnsi="Arial"/>
          <w:sz w:val="24"/>
          <w:szCs w:val="24"/>
        </w:rPr>
        <w:t xml:space="preserve">20. Процесс разработки проекта ССБР начинается с описания сектора, к которому относится главный распорядитель. Стандартный формат пояснительной записки к проекту ССБР приведен в </w:t>
      </w:r>
      <w:hyperlink w:history="1" r:id="rIdxdgtbppg60846h-xnfbbv">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21. Основными требованиями к описанию сектора/отрасли являются:</w:t>
      </w:r>
    </w:p>
    <w:p>
      <w:pPr>
        <w:spacing w:after="60"/>
        <w:ind w:firstLine="567"/>
        <w:jc w:val="both"/>
      </w:pPr>
      <w:r>
        <w:rPr>
          <w:rFonts w:ascii="Arial" w:cs="Arial" w:eastAsia="Arial" w:hAnsi="Arial"/>
          <w:sz w:val="24"/>
          <w:szCs w:val="24"/>
        </w:rPr>
        <w:t xml:space="preserve">1) описание сектора/отрасли;</w:t>
      </w:r>
    </w:p>
    <w:p>
      <w:pPr>
        <w:spacing w:after="60"/>
        <w:ind w:firstLine="567"/>
        <w:jc w:val="both"/>
      </w:pPr>
      <w:r>
        <w:rPr>
          <w:rFonts w:ascii="Arial" w:cs="Arial" w:eastAsia="Arial" w:hAnsi="Arial"/>
          <w:sz w:val="24"/>
          <w:szCs w:val="24"/>
        </w:rPr>
        <w:t xml:space="preserve">2) определение основных составляющих сектора/отрасли;</w:t>
      </w:r>
    </w:p>
    <w:p>
      <w:pPr>
        <w:spacing w:after="60"/>
        <w:ind w:firstLine="567"/>
        <w:jc w:val="both"/>
      </w:pPr>
      <w:r>
        <w:rPr>
          <w:rFonts w:ascii="Arial" w:cs="Arial" w:eastAsia="Arial" w:hAnsi="Arial"/>
          <w:sz w:val="24"/>
          <w:szCs w:val="24"/>
        </w:rPr>
        <w:t xml:space="preserve">3) описание роли и масштабов сектора/отрасли в устойчивом развитии страны;</w:t>
      </w:r>
    </w:p>
    <w:p>
      <w:pPr>
        <w:spacing w:after="60"/>
        <w:ind w:firstLine="567"/>
        <w:jc w:val="both"/>
      </w:pPr>
      <w:r>
        <w:rPr>
          <w:rFonts w:ascii="Arial" w:cs="Arial" w:eastAsia="Arial" w:hAnsi="Arial"/>
          <w:sz w:val="24"/>
          <w:szCs w:val="24"/>
        </w:rPr>
        <w:t xml:space="preserve">4) описание особенностей и состояния сектора/отрасли на момент формирования проекта ССБР с приведением краткой статистики за последний отчетный период и краткого анализа, с указанием основных проблемных моментов;</w:t>
      </w:r>
    </w:p>
    <w:p>
      <w:pPr>
        <w:spacing w:after="60"/>
        <w:ind w:firstLine="567"/>
        <w:jc w:val="both"/>
      </w:pPr>
      <w:r>
        <w:rPr>
          <w:rFonts w:ascii="Arial" w:cs="Arial" w:eastAsia="Arial" w:hAnsi="Arial"/>
          <w:sz w:val="24"/>
          <w:szCs w:val="24"/>
        </w:rPr>
        <w:t xml:space="preserve">5) роль и влияние главного распорядителя, разрабатывающего проект ССБР, на проведение политики сектора/отрасли;</w:t>
      </w:r>
    </w:p>
    <w:p>
      <w:pPr>
        <w:spacing w:after="60"/>
        <w:ind w:firstLine="567"/>
        <w:jc w:val="both"/>
      </w:pPr>
      <w:r>
        <w:rPr>
          <w:rFonts w:ascii="Arial" w:cs="Arial" w:eastAsia="Arial" w:hAnsi="Arial"/>
          <w:sz w:val="24"/>
          <w:szCs w:val="24"/>
        </w:rPr>
        <w:t xml:space="preserve">6) перечисление других главных распорядителей, участвующих в управлении и развитии сектора/отрасли, с описанием распределения их обязанностей и ответственности.</w:t>
      </w:r>
    </w:p>
    <w:p>
      <w:pPr>
        <w:spacing w:after="60"/>
        <w:ind w:firstLine="567"/>
        <w:jc w:val="both"/>
      </w:pPr>
      <w:r>
        <w:rPr>
          <w:rFonts w:ascii="Arial" w:cs="Arial" w:eastAsia="Arial" w:hAnsi="Arial"/>
          <w:sz w:val="24"/>
          <w:szCs w:val="24"/>
        </w:rPr>
        <w:t xml:space="preserve">22. Описание сектора/отрасли представляется в пояснительной записке к ССБР по форме согласно </w:t>
      </w:r>
      <w:hyperlink w:history="1" r:id="rIdlr7ootardj_qji-n0mxq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2. Определение стратегической цели</w:t>
      </w:r>
    </w:p>
    <w:p>
      <w:pPr>
        <w:spacing w:after="60"/>
        <w:ind w:firstLine="567"/>
        <w:jc w:val="both"/>
      </w:pPr>
      <w:r>
        <w:rPr>
          <w:rFonts w:ascii="Arial" w:cs="Arial" w:eastAsia="Arial" w:hAnsi="Arial"/>
          <w:sz w:val="24"/>
          <w:szCs w:val="24"/>
        </w:rPr>
        <w:t xml:space="preserve">23. Определение стратегической цели сектора является шагом 2 процесса формирования проекта ССБР. В случаях, когда главный распорядитель бюджетных средств не принадлежит к конкретному сектору, формулируется стратегическая цель организации.</w:t>
      </w:r>
    </w:p>
    <w:p>
      <w:pPr>
        <w:spacing w:after="60"/>
        <w:ind w:firstLine="567"/>
        <w:jc w:val="both"/>
      </w:pPr>
      <w:r>
        <w:rPr>
          <w:rFonts w:ascii="Arial" w:cs="Arial" w:eastAsia="Arial" w:hAnsi="Arial"/>
          <w:sz w:val="24"/>
          <w:szCs w:val="24"/>
        </w:rPr>
        <w:t xml:space="preserve">24. К формулировке стратегических целей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национального стратегического/программного документа и/или секторальных стратегических/программных документов;</w:t>
      </w:r>
    </w:p>
    <w:p>
      <w:pPr>
        <w:spacing w:after="60"/>
        <w:ind w:firstLine="567"/>
        <w:jc w:val="both"/>
      </w:pPr>
      <w:r>
        <w:rPr>
          <w:rFonts w:ascii="Arial" w:cs="Arial" w:eastAsia="Arial" w:hAnsi="Arial"/>
          <w:sz w:val="24"/>
          <w:szCs w:val="24"/>
        </w:rPr>
        <w:t xml:space="preserve">2) формирование цели с учетом приоритетов устойчивого развития (сокращение бедности, эффективность использования земельных и водных ресурсов, энергосберегающие технологии, уровень качества жизни населения, уровень загрязнения окружающей среды, уровень культуры и ответственности за сохранение окружающей среды и др.);</w:t>
      </w:r>
    </w:p>
    <w:p>
      <w:pPr>
        <w:spacing w:after="60"/>
        <w:ind w:firstLine="567"/>
        <w:jc w:val="both"/>
      </w:pPr>
      <w:r>
        <w:rPr>
          <w:rFonts w:ascii="Arial" w:cs="Arial" w:eastAsia="Arial" w:hAnsi="Arial"/>
          <w:sz w:val="24"/>
          <w:szCs w:val="24"/>
        </w:rPr>
        <w:t xml:space="preserve">3) четкость, конкретность и краткость формулировки;</w:t>
      </w:r>
    </w:p>
    <w:p>
      <w:pPr>
        <w:spacing w:after="60"/>
        <w:ind w:firstLine="567"/>
        <w:jc w:val="both"/>
      </w:pPr>
      <w:r>
        <w:rPr>
          <w:rFonts w:ascii="Arial" w:cs="Arial" w:eastAsia="Arial" w:hAnsi="Arial"/>
          <w:sz w:val="24"/>
          <w:szCs w:val="24"/>
        </w:rPr>
        <w:t xml:space="preserve">4) достижимость и измеримость;</w:t>
      </w:r>
    </w:p>
    <w:p>
      <w:pPr>
        <w:spacing w:after="60"/>
        <w:ind w:firstLine="567"/>
        <w:jc w:val="both"/>
      </w:pPr>
      <w:r>
        <w:rPr>
          <w:rFonts w:ascii="Arial" w:cs="Arial" w:eastAsia="Arial" w:hAnsi="Arial"/>
          <w:sz w:val="24"/>
          <w:szCs w:val="24"/>
        </w:rPr>
        <w:t xml:space="preserve">5) отражение общественной значимости/выгоды от деятельности главного распорядителя обществу;</w:t>
      </w:r>
    </w:p>
    <w:p>
      <w:pPr>
        <w:spacing w:after="60"/>
        <w:ind w:firstLine="567"/>
        <w:jc w:val="both"/>
      </w:pPr>
      <w:r>
        <w:rPr>
          <w:rFonts w:ascii="Arial" w:cs="Arial" w:eastAsia="Arial" w:hAnsi="Arial"/>
          <w:sz w:val="24"/>
          <w:szCs w:val="24"/>
        </w:rPr>
        <w:t xml:space="preserve">6) направленность на достижение конкретного результата, а не на процесс.</w:t>
      </w:r>
    </w:p>
    <w:p>
      <w:pPr>
        <w:spacing w:after="60"/>
        <w:ind w:firstLine="567"/>
        <w:jc w:val="both"/>
      </w:pPr>
      <w:r>
        <w:rPr>
          <w:rFonts w:ascii="Arial" w:cs="Arial" w:eastAsia="Arial" w:hAnsi="Arial"/>
          <w:sz w:val="24"/>
          <w:szCs w:val="24"/>
        </w:rPr>
        <w:t xml:space="preserve">25. Формулировка стратегической цели должна быть понятной и не должна содержать:</w:t>
      </w:r>
    </w:p>
    <w:p>
      <w:pPr>
        <w:spacing w:after="60"/>
        <w:ind w:firstLine="567"/>
        <w:jc w:val="both"/>
      </w:pPr>
      <w:r>
        <w:rPr>
          <w:rFonts w:ascii="Arial" w:cs="Arial" w:eastAsia="Arial" w:hAnsi="Arial"/>
          <w:sz w:val="24"/>
          <w:szCs w:val="24"/>
        </w:rPr>
        <w:t xml:space="preserve">1) специальных терминов, затрудняющих ее понимание лицами, не обладающими профессиональными знаниями в сфере деятельности, связанной с реализацией данной цели;</w:t>
      </w:r>
    </w:p>
    <w:p>
      <w:pPr>
        <w:spacing w:after="60"/>
        <w:ind w:firstLine="567"/>
        <w:jc w:val="both"/>
      </w:pPr>
      <w:r>
        <w:rPr>
          <w:rFonts w:ascii="Arial" w:cs="Arial" w:eastAsia="Arial" w:hAnsi="Arial"/>
          <w:sz w:val="24"/>
          <w:szCs w:val="24"/>
        </w:rPr>
        <w:t xml:space="preserve">2) терминов, понятий и выражений, которые допускают произвольное или неоднозначное толкование;</w:t>
      </w:r>
    </w:p>
    <w:p>
      <w:pPr>
        <w:spacing w:after="60"/>
        <w:ind w:firstLine="567"/>
        <w:jc w:val="both"/>
      </w:pPr>
      <w:r>
        <w:rPr>
          <w:rFonts w:ascii="Arial" w:cs="Arial" w:eastAsia="Arial" w:hAnsi="Arial"/>
          <w:sz w:val="24"/>
          <w:szCs w:val="24"/>
        </w:rPr>
        <w:t xml:space="preserve">3) указаний на иные цели, задачи, эффекты или результаты, которые являются следствиями достижения самой стратегической цели;</w:t>
      </w:r>
    </w:p>
    <w:p>
      <w:pPr>
        <w:spacing w:after="60"/>
        <w:ind w:firstLine="567"/>
        <w:jc w:val="both"/>
      </w:pPr>
      <w:r>
        <w:rPr>
          <w:rFonts w:ascii="Arial" w:cs="Arial" w:eastAsia="Arial" w:hAnsi="Arial"/>
          <w:sz w:val="24"/>
          <w:szCs w:val="24"/>
        </w:rPr>
        <w:t xml:space="preserve">4) описания средств и методов достижения стратегической цели.</w:t>
      </w:r>
    </w:p>
    <w:p>
      <w:pPr>
        <w:spacing w:after="60"/>
        <w:ind w:firstLine="567"/>
        <w:jc w:val="both"/>
      </w:pPr>
      <w:r>
        <w:rPr>
          <w:rFonts w:ascii="Arial" w:cs="Arial" w:eastAsia="Arial" w:hAnsi="Arial"/>
          <w:sz w:val="24"/>
          <w:szCs w:val="24"/>
        </w:rPr>
        <w:t xml:space="preserve">26. Стратегическая цель сектора/отрасли вносится в раздел "Стратегическая цель" описательной части ССБР по форме согласно </w:t>
      </w:r>
      <w:hyperlink w:history="1" r:id="rIdee93cfhqtgpo8hcsmxfl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3. Определение задач</w:t>
      </w:r>
    </w:p>
    <w:p>
      <w:pPr>
        <w:spacing w:after="60"/>
        <w:ind w:firstLine="567"/>
        <w:jc w:val="both"/>
      </w:pPr>
      <w:r>
        <w:rPr>
          <w:rFonts w:ascii="Arial" w:cs="Arial" w:eastAsia="Arial" w:hAnsi="Arial"/>
          <w:sz w:val="24"/>
          <w:szCs w:val="24"/>
        </w:rPr>
        <w:t xml:space="preserve">27. Определение задач является шагом 3 процесса формирования проекта ССБР. Стратегические задачи должны соответствовать приоритетам устойчивого развития, отражающими основные приоритетные направления деятельности по достижению стратегической цели. Стратегические задачи являются основой для определения бюджетных программ.</w:t>
      </w:r>
    </w:p>
    <w:p>
      <w:pPr>
        <w:spacing w:after="60"/>
        <w:ind w:firstLine="567"/>
        <w:jc w:val="both"/>
      </w:pPr>
      <w:r>
        <w:rPr>
          <w:rFonts w:ascii="Arial" w:cs="Arial" w:eastAsia="Arial" w:hAnsi="Arial"/>
          <w:sz w:val="24"/>
          <w:szCs w:val="24"/>
        </w:rPr>
        <w:t xml:space="preserve">28. К формулировке задач предъявляются следующие требования:</w:t>
      </w:r>
    </w:p>
    <w:p>
      <w:pPr>
        <w:spacing w:after="60"/>
        <w:ind w:firstLine="567"/>
        <w:jc w:val="both"/>
      </w:pPr>
      <w:r>
        <w:rPr>
          <w:rFonts w:ascii="Arial" w:cs="Arial" w:eastAsia="Arial" w:hAnsi="Arial"/>
          <w:sz w:val="24"/>
          <w:szCs w:val="24"/>
        </w:rPr>
        <w:t xml:space="preserve">1) направленность задачи на достижение стратегической цели;</w:t>
      </w:r>
    </w:p>
    <w:p>
      <w:pPr>
        <w:spacing w:after="60"/>
        <w:ind w:firstLine="567"/>
        <w:jc w:val="both"/>
      </w:pPr>
      <w:r>
        <w:rPr>
          <w:rFonts w:ascii="Arial" w:cs="Arial" w:eastAsia="Arial" w:hAnsi="Arial"/>
          <w:sz w:val="24"/>
          <w:szCs w:val="24"/>
        </w:rPr>
        <w:t xml:space="preserve">2) комплексность, когда решение каждой задачи является необходимым и достаточным условием для достижения стратегической цели;</w:t>
      </w:r>
    </w:p>
    <w:p>
      <w:pPr>
        <w:spacing w:after="60"/>
        <w:ind w:firstLine="567"/>
        <w:jc w:val="both"/>
      </w:pPr>
      <w:r>
        <w:rPr>
          <w:rFonts w:ascii="Arial" w:cs="Arial" w:eastAsia="Arial" w:hAnsi="Arial"/>
          <w:sz w:val="24"/>
          <w:szCs w:val="24"/>
        </w:rPr>
        <w:t xml:space="preserve">3) ограниченность количества задач;</w:t>
      </w:r>
    </w:p>
    <w:p>
      <w:pPr>
        <w:spacing w:after="60"/>
        <w:ind w:firstLine="567"/>
        <w:jc w:val="both"/>
      </w:pPr>
      <w:r>
        <w:rPr>
          <w:rFonts w:ascii="Arial" w:cs="Arial" w:eastAsia="Arial" w:hAnsi="Arial"/>
          <w:sz w:val="24"/>
          <w:szCs w:val="24"/>
        </w:rPr>
        <w:t xml:space="preserve">4) краткость и четкость формулировки.</w:t>
      </w:r>
    </w:p>
    <w:p>
      <w:pPr>
        <w:spacing w:after="60"/>
        <w:ind w:firstLine="567"/>
        <w:jc w:val="both"/>
      </w:pPr>
      <w:r>
        <w:rPr>
          <w:rFonts w:ascii="Arial" w:cs="Arial" w:eastAsia="Arial" w:hAnsi="Arial"/>
          <w:sz w:val="24"/>
          <w:szCs w:val="24"/>
        </w:rPr>
        <w:t xml:space="preserve">29. Не допускается постановка задач, направленных на обеспечение деятельности главного распорядителя, на увеличение бюджетных ассигнований.</w:t>
      </w:r>
    </w:p>
    <w:p>
      <w:pPr>
        <w:spacing w:after="60"/>
        <w:ind w:firstLine="567"/>
        <w:jc w:val="both"/>
      </w:pPr>
      <w:r>
        <w:rPr>
          <w:rFonts w:ascii="Arial" w:cs="Arial" w:eastAsia="Arial" w:hAnsi="Arial"/>
          <w:sz w:val="24"/>
          <w:szCs w:val="24"/>
        </w:rPr>
        <w:t xml:space="preserve">30. Сформулированные задачи представляются в виде перечня задач в разделе "Задачи" по форме согласно </w:t>
      </w:r>
      <w:hyperlink w:history="1" r:id="rId7hiqp0fh7zmm1gjuptor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 Шаг 4. Формулирование бюджетных программ</w:t>
      </w:r>
    </w:p>
    <w:p>
      <w:pPr>
        <w:spacing w:after="60"/>
        <w:ind w:firstLine="567"/>
        <w:jc w:val="both"/>
      </w:pPr>
      <w:r>
        <w:rPr>
          <w:rFonts w:ascii="Arial" w:cs="Arial" w:eastAsia="Arial" w:hAnsi="Arial"/>
          <w:sz w:val="24"/>
          <w:szCs w:val="24"/>
        </w:rPr>
        <w:t xml:space="preserve">31. Формулирование бюджетных программ является шагом 4 процесса формирования проекта ССБР. Взаимосвязанные направления деятельности главного распорядителя группируются в проектах бюджетных программ в соответствии с объединяющими их задачами сектора/отрасли или главного распорядителя.</w:t>
      </w:r>
    </w:p>
    <w:p>
      <w:pPr>
        <w:spacing w:after="60"/>
        <w:ind w:firstLine="567"/>
        <w:jc w:val="both"/>
      </w:pPr>
      <w:r>
        <w:rPr>
          <w:rFonts w:ascii="Arial" w:cs="Arial" w:eastAsia="Arial" w:hAnsi="Arial"/>
          <w:sz w:val="24"/>
          <w:szCs w:val="24"/>
        </w:rPr>
        <w:t xml:space="preserve">32. Бюджетная программа должна быть направлена на достижение цели, которая формулируется четко и лаконично, является конкретной, достижимой, измеримой, ориентированной на внешнего потребителя услуг сектора/отрасли, направленной на достижение результата. Формулировка цели не должна содержать специальных терминов, затрудняющих ее понимание лицами, не обладающими профессиональными знаниями в сфере деятельности, связанной с реализацией цели.</w:t>
      </w:r>
    </w:p>
    <w:p>
      <w:pPr>
        <w:spacing w:after="60"/>
        <w:ind w:firstLine="567"/>
        <w:jc w:val="both"/>
      </w:pPr>
      <w:r>
        <w:rPr>
          <w:rFonts w:ascii="Arial" w:cs="Arial" w:eastAsia="Arial" w:hAnsi="Arial"/>
          <w:sz w:val="24"/>
          <w:szCs w:val="24"/>
        </w:rPr>
        <w:t xml:space="preserve">33. Для каждого проекта бюджетной программы определяется ожидаемый результат, который формулируется кратко, понятно, с указанием значения планового показателя в среднесрочном или долгосрочном периоде. Одна программа направлена на достижение одного измеримого социально значимого результата.</w:t>
      </w:r>
    </w:p>
    <w:p>
      <w:pPr>
        <w:spacing w:after="60"/>
        <w:ind w:firstLine="567"/>
        <w:jc w:val="both"/>
      </w:pPr>
      <w:r>
        <w:rPr>
          <w:rFonts w:ascii="Arial" w:cs="Arial" w:eastAsia="Arial" w:hAnsi="Arial"/>
          <w:sz w:val="24"/>
          <w:szCs w:val="24"/>
        </w:rPr>
        <w:t xml:space="preserve">34. К формулировке бюджетных программ предъявляются следующие требования:</w:t>
      </w:r>
    </w:p>
    <w:p>
      <w:pPr>
        <w:spacing w:after="60"/>
        <w:ind w:firstLine="567"/>
        <w:jc w:val="both"/>
      </w:pPr>
      <w:r>
        <w:rPr>
          <w:rFonts w:ascii="Arial" w:cs="Arial" w:eastAsia="Arial" w:hAnsi="Arial"/>
          <w:sz w:val="24"/>
          <w:szCs w:val="24"/>
        </w:rPr>
        <w:t xml:space="preserve">1) соответствие приоритетам государственной политики в секторе/отрасли и четкая взаимосвязь с национальным стратегическим/программным документом и/или секторальными стратегическими/программными документами;</w:t>
      </w:r>
    </w:p>
    <w:p>
      <w:pPr>
        <w:spacing w:after="60"/>
        <w:ind w:firstLine="567"/>
        <w:jc w:val="both"/>
      </w:pPr>
      <w:r>
        <w:rPr>
          <w:rFonts w:ascii="Arial" w:cs="Arial" w:eastAsia="Arial" w:hAnsi="Arial"/>
          <w:sz w:val="24"/>
          <w:szCs w:val="24"/>
        </w:rPr>
        <w:t xml:space="preserve">2) направленность бюджетной программы на решение одной из задач сектора/главного распорядителя, реализуемых одной или более бюджетными программами;</w:t>
      </w:r>
    </w:p>
    <w:p>
      <w:pPr>
        <w:spacing w:after="60"/>
        <w:ind w:firstLine="567"/>
        <w:jc w:val="both"/>
      </w:pPr>
      <w:r>
        <w:rPr>
          <w:rFonts w:ascii="Arial" w:cs="Arial" w:eastAsia="Arial" w:hAnsi="Arial"/>
          <w:sz w:val="24"/>
          <w:szCs w:val="24"/>
        </w:rPr>
        <w:t xml:space="preserve">3) краткость названия бюджетных программ с отражением основных направлений деятельности главного распорядителя в рамках выполнения задач;</w:t>
      </w:r>
    </w:p>
    <w:p>
      <w:pPr>
        <w:spacing w:after="60"/>
        <w:ind w:firstLine="567"/>
        <w:jc w:val="both"/>
      </w:pPr>
      <w:r>
        <w:rPr>
          <w:rFonts w:ascii="Arial" w:cs="Arial" w:eastAsia="Arial" w:hAnsi="Arial"/>
          <w:sz w:val="24"/>
          <w:szCs w:val="24"/>
        </w:rPr>
        <w:t xml:space="preserve">4) обоснованность количества бюджетных программ;</w:t>
      </w:r>
    </w:p>
    <w:p>
      <w:pPr>
        <w:spacing w:after="60"/>
        <w:ind w:firstLine="567"/>
        <w:jc w:val="both"/>
      </w:pPr>
      <w:r>
        <w:rPr>
          <w:rFonts w:ascii="Arial" w:cs="Arial" w:eastAsia="Arial" w:hAnsi="Arial"/>
          <w:sz w:val="24"/>
          <w:szCs w:val="24"/>
        </w:rPr>
        <w:t xml:space="preserve">5) устойчивость программной структуры во времени. Новые бюджетные программы/меры включаются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6) деятельность по проведению реформ и инвестиционные проекты отражаются в виде бюджетной меры в рамках бюджетных программ;</w:t>
      </w:r>
    </w:p>
    <w:p>
      <w:pPr>
        <w:spacing w:after="60"/>
        <w:ind w:firstLine="567"/>
        <w:jc w:val="both"/>
      </w:pPr>
      <w:r>
        <w:rPr>
          <w:rFonts w:ascii="Arial" w:cs="Arial" w:eastAsia="Arial" w:hAnsi="Arial"/>
          <w:sz w:val="24"/>
          <w:szCs w:val="24"/>
        </w:rPr>
        <w:t xml:space="preserve">7) финансирование либо увеличение объемов финансирования не является программой.</w:t>
      </w:r>
    </w:p>
    <w:p>
      <w:pPr>
        <w:spacing w:after="60"/>
        <w:ind w:firstLine="567"/>
        <w:jc w:val="both"/>
      </w:pPr>
      <w:r>
        <w:rPr>
          <w:rFonts w:ascii="Arial" w:cs="Arial" w:eastAsia="Arial" w:hAnsi="Arial"/>
          <w:sz w:val="24"/>
          <w:szCs w:val="24"/>
        </w:rPr>
        <w:t xml:space="preserve">35. При формулировке бюджетных программ структурные, территориальные и подведомственные подразделения главного распорядителя группируются по направлениям деятельности с распределением ответственности за реализацию той или иной бюджетной программы.</w:t>
      </w:r>
    </w:p>
    <w:p>
      <w:pPr>
        <w:spacing w:after="60"/>
        <w:ind w:firstLine="567"/>
        <w:jc w:val="both"/>
      </w:pPr>
      <w:r>
        <w:rPr>
          <w:rFonts w:ascii="Arial" w:cs="Arial" w:eastAsia="Arial" w:hAnsi="Arial"/>
          <w:sz w:val="24"/>
          <w:szCs w:val="24"/>
        </w:rPr>
        <w:t xml:space="preserve">36. В программном бюджете главного распорядителя отражается стандартная программа "Планирование, управление и администрирование", охватывающая функции подразделений, расходы которых сложно распределить по основным бюджетным программам. Реализация данной программы оказывает координирующее и организационное воздействие на реализацию других программ.</w:t>
      </w:r>
    </w:p>
    <w:p>
      <w:pPr>
        <w:spacing w:after="60"/>
        <w:ind w:firstLine="567"/>
        <w:jc w:val="both"/>
      </w:pPr>
      <w:r>
        <w:rPr>
          <w:rFonts w:ascii="Arial" w:cs="Arial" w:eastAsia="Arial" w:hAnsi="Arial"/>
          <w:sz w:val="24"/>
          <w:szCs w:val="24"/>
        </w:rPr>
        <w:t xml:space="preserve">37. К бюджетной программе "Планирование, управление и администрирование" относятся: высшее руководство главного распорядителя; финансовая служба; подразделения, ответственные за осуществление мониторинга и контроля; управление человеческими ресурсами; подразделения международного сотрудничества; юридическая служба; внутренний аудит; службы по связям с общественностью, пресс-секретари и т.п. Не допускается отнесение к данной программе всех расходов, осуществляемых центральным аппаратом главного распорядителя. Для бюджетной программы "Планирование, управление и администрирование" предусматривается стандартный перечень бюджетных мер согласно пункту 45 шага 5 настоящей Инструкции.</w:t>
      </w:r>
    </w:p>
    <w:p>
      <w:pPr>
        <w:spacing w:after="60"/>
        <w:ind w:firstLine="567"/>
        <w:jc w:val="both"/>
      </w:pPr>
      <w:r>
        <w:rPr>
          <w:rFonts w:ascii="Arial" w:cs="Arial" w:eastAsia="Arial" w:hAnsi="Arial"/>
          <w:sz w:val="24"/>
          <w:szCs w:val="24"/>
        </w:rPr>
        <w:t xml:space="preserve">38. Бюджетная программа "Планирование, управление и администрирование" указывается первой в списке и имеет код 001.</w:t>
      </w:r>
    </w:p>
    <w:p>
      <w:pPr>
        <w:spacing w:after="60"/>
        <w:ind w:firstLine="567"/>
        <w:jc w:val="both"/>
      </w:pPr>
      <w:r>
        <w:rPr>
          <w:rFonts w:ascii="Arial" w:cs="Arial" w:eastAsia="Arial" w:hAnsi="Arial"/>
          <w:sz w:val="24"/>
          <w:szCs w:val="24"/>
        </w:rPr>
        <w:t xml:space="preserve">39. Сформулированные бюджетные программы вносятся в раздел "Бюджетные программы" по форме, приведенной в </w:t>
      </w:r>
      <w:hyperlink w:history="1" r:id="rIdueuom1okaf5yzhhyg69oo">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а также в таблицу "Структура бюджетных программ и мер ССБР" по форме, приведенной в </w:t>
      </w:r>
      <w:hyperlink w:history="1" r:id="rIdvl9psssgecrcrjaa-qvky">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При заполнении таблицы необходимо в специальной графе указывать коды бюджетных программ, соответствующие кодам программной бюджетной классификации.</w:t>
      </w:r>
    </w:p>
    <w:p>
      <w:pPr>
        <w:spacing w:after="60"/>
        <w:ind w:firstLine="567"/>
        <w:jc w:val="both"/>
      </w:pPr>
      <w:r>
        <w:rPr>
          <w:rFonts w:ascii="Arial" w:cs="Arial" w:eastAsia="Arial" w:hAnsi="Arial"/>
          <w:sz w:val="24"/>
          <w:szCs w:val="24"/>
        </w:rPr>
        <w:t xml:space="preserve">40. В случае значительного изменения программной структуры формируемого проекта ССБР в сравнении с программной структурой, представленной в предыдущий цикл формирования бюджета, представляется обоснование вносимых изменений.</w:t>
      </w:r>
    </w:p>
    <w:p>
      <w:pPr>
        <w:spacing w:after="200" w:before="200"/>
        <w:jc w:val="center"/>
      </w:pPr>
      <w:r>
        <w:rPr>
          <w:rFonts w:ascii="Arial" w:cs="Arial" w:eastAsia="Arial" w:hAnsi="Arial"/>
          <w:b/>
          <w:bCs/>
          <w:sz w:val="24"/>
          <w:szCs w:val="24"/>
        </w:rPr>
        <w:t xml:space="preserve">§ Шаг 5. Описание бюджетных мер</w:t>
      </w:r>
    </w:p>
    <w:p>
      <w:pPr>
        <w:spacing w:after="60"/>
        <w:ind w:firstLine="567"/>
        <w:jc w:val="both"/>
      </w:pPr>
      <w:r>
        <w:rPr>
          <w:rFonts w:ascii="Arial" w:cs="Arial" w:eastAsia="Arial" w:hAnsi="Arial"/>
          <w:sz w:val="24"/>
          <w:szCs w:val="24"/>
        </w:rPr>
        <w:t xml:space="preserve">41. Бюджетные меры имеют взаимосвязь с мерами/мероприятиями в рамках национального стратегического/программного документа и/или секторальных стратегических, программных документов и формируются с учетом приоритетов устойчивого развития. Формулирование бюджетных мер необходимо для определения способов достижения целей бюджетной программы и увязки бюджетной программы со структурными подразделениями главного распорядителя.</w:t>
      </w:r>
    </w:p>
    <w:p>
      <w:pPr>
        <w:spacing w:after="60"/>
        <w:ind w:firstLine="567"/>
        <w:jc w:val="both"/>
      </w:pPr>
      <w:r>
        <w:rPr>
          <w:rFonts w:ascii="Arial" w:cs="Arial" w:eastAsia="Arial" w:hAnsi="Arial"/>
          <w:sz w:val="24"/>
          <w:szCs w:val="24"/>
        </w:rPr>
        <w:t xml:space="preserve">42. Ответственность за реализацию бюджетной меры возлагается на главного распорядителя.</w:t>
      </w:r>
    </w:p>
    <w:p>
      <w:pPr>
        <w:spacing w:after="60"/>
        <w:ind w:firstLine="567"/>
        <w:jc w:val="both"/>
      </w:pPr>
      <w:r>
        <w:rPr>
          <w:rFonts w:ascii="Arial" w:cs="Arial" w:eastAsia="Arial" w:hAnsi="Arial"/>
          <w:sz w:val="24"/>
          <w:szCs w:val="24"/>
        </w:rPr>
        <w:t xml:space="preserve">43. Территориальные подразделения главного распорядителя, выполняющие несколько функций, относящихся к разным бюджетным программам/мерам, указываются в виде одной бюджетной меры.</w:t>
      </w:r>
    </w:p>
    <w:p>
      <w:pPr>
        <w:spacing w:after="60"/>
        <w:ind w:firstLine="567"/>
        <w:jc w:val="both"/>
      </w:pPr>
      <w:r>
        <w:rPr>
          <w:rFonts w:ascii="Arial" w:cs="Arial" w:eastAsia="Arial" w:hAnsi="Arial"/>
          <w:sz w:val="24"/>
          <w:szCs w:val="24"/>
        </w:rPr>
        <w:t xml:space="preserve">44. Структура бюджетных программ и мер составляется для систематизации бюджетных мер в рамках программ и их распределения между административными подразделениями главного распорядителя по форме согласно </w:t>
      </w:r>
      <w:hyperlink w:history="1" r:id="rIdmq112aahagednog0cni3x">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45. Для программы "Планирование, управление и администрирование" применяется следующий стандартный перечень бюджетных мер:</w:t>
      </w:r>
    </w:p>
    <w:p>
      <w:pPr>
        <w:spacing w:after="60"/>
        <w:ind w:firstLine="567"/>
        <w:jc w:val="both"/>
      </w:pPr>
      <w:r>
        <w:rPr>
          <w:rFonts w:ascii="Arial" w:cs="Arial" w:eastAsia="Arial" w:hAnsi="Arial"/>
          <w:sz w:val="24"/>
          <w:szCs w:val="24"/>
        </w:rPr>
        <w:t xml:space="preserve">1) организация общего руководства (деятельность руководителей, их секретарей и помощников, которая не может быть отнесена к конкретной программе). В случае, когда заместитель руководителя главного распорядителя курирует подразделения, реализующие одну содержательную бюджетную программу, то деятельность этого заместителя относится именно к этой бюджетной программе, а не к программе "Планирование, управление и администрирование";</w:t>
      </w:r>
    </w:p>
    <w:p>
      <w:pPr>
        <w:spacing w:after="60"/>
        <w:ind w:firstLine="567"/>
        <w:jc w:val="both"/>
      </w:pPr>
      <w:r>
        <w:rPr>
          <w:rFonts w:ascii="Arial" w:cs="Arial" w:eastAsia="Arial" w:hAnsi="Arial"/>
          <w:sz w:val="24"/>
          <w:szCs w:val="24"/>
        </w:rPr>
        <w:t xml:space="preserve">2) обеспечение финансового менеджмента и учета (деятельность финансовых и бюджетных подразделений);</w:t>
      </w:r>
    </w:p>
    <w:p>
      <w:pPr>
        <w:spacing w:after="60"/>
        <w:ind w:firstLine="567"/>
        <w:jc w:val="both"/>
      </w:pPr>
      <w:r>
        <w:rPr>
          <w:rFonts w:ascii="Arial" w:cs="Arial" w:eastAsia="Arial" w:hAnsi="Arial"/>
          <w:sz w:val="24"/>
          <w:szCs w:val="24"/>
        </w:rPr>
        <w:t xml:space="preserve">3) управление человеческими ресурсами (деятельность служб управления персоналом);</w:t>
      </w:r>
    </w:p>
    <w:p>
      <w:pPr>
        <w:spacing w:after="60"/>
        <w:ind w:firstLine="567"/>
        <w:jc w:val="both"/>
      </w:pPr>
      <w:r>
        <w:rPr>
          <w:rFonts w:ascii="Arial" w:cs="Arial" w:eastAsia="Arial" w:hAnsi="Arial"/>
          <w:sz w:val="24"/>
          <w:szCs w:val="24"/>
        </w:rPr>
        <w:t xml:space="preserve">4) правовая поддержка (деятельность юридических служб);</w:t>
      </w:r>
    </w:p>
    <w:p>
      <w:pPr>
        <w:spacing w:after="60"/>
        <w:ind w:firstLine="567"/>
        <w:jc w:val="both"/>
      </w:pPr>
      <w:r>
        <w:rPr>
          <w:rFonts w:ascii="Arial" w:cs="Arial" w:eastAsia="Arial" w:hAnsi="Arial"/>
          <w:sz w:val="24"/>
          <w:szCs w:val="24"/>
        </w:rPr>
        <w:t xml:space="preserve">5) поддержание внешних связей и связей с общественностью (деятельность подразделений международного сотрудничества, по связям с общественностью, пресс-секретарей);</w:t>
      </w:r>
    </w:p>
    <w:p>
      <w:pPr>
        <w:spacing w:after="60"/>
        <w:ind w:firstLine="567"/>
        <w:jc w:val="both"/>
      </w:pPr>
      <w:r>
        <w:rPr>
          <w:rFonts w:ascii="Arial" w:cs="Arial" w:eastAsia="Arial" w:hAnsi="Arial"/>
          <w:sz w:val="24"/>
          <w:szCs w:val="24"/>
        </w:rPr>
        <w:t xml:space="preserve">6) организация деятельности и службы обеспечения (деятельность организационно-технических подразделений, технического и младшего обслуживающего персонала и т.п.);</w:t>
      </w:r>
    </w:p>
    <w:p>
      <w:pPr>
        <w:spacing w:after="60"/>
        <w:ind w:firstLine="567"/>
        <w:jc w:val="both"/>
      </w:pPr>
      <w:r>
        <w:rPr>
          <w:rFonts w:ascii="Arial" w:cs="Arial" w:eastAsia="Arial" w:hAnsi="Arial"/>
          <w:sz w:val="24"/>
          <w:szCs w:val="24"/>
        </w:rPr>
        <w:t xml:space="preserve">7) обеспечение мониторинга, анализа и стратегического планирования (деятельность подразделений внутреннего аудита, по противодействию коррупции, стратегического планирования и анализа);</w:t>
      </w:r>
    </w:p>
    <w:p>
      <w:pPr>
        <w:spacing w:after="60"/>
        <w:ind w:firstLine="567"/>
        <w:jc w:val="both"/>
      </w:pPr>
      <w:r>
        <w:rPr>
          <w:rFonts w:ascii="Arial" w:cs="Arial" w:eastAsia="Arial" w:hAnsi="Arial"/>
          <w:sz w:val="24"/>
          <w:szCs w:val="24"/>
        </w:rPr>
        <w:t xml:space="preserve">8) общая координация на региональном уровне (деятельность региональных подразделений численностью до 5 человек, которые не могут быть отнесены к другим программам).</w:t>
      </w:r>
    </w:p>
    <w:p>
      <w:pPr>
        <w:spacing w:after="60"/>
        <w:ind w:firstLine="567"/>
        <w:jc w:val="both"/>
      </w:pPr>
      <w:r>
        <w:rPr>
          <w:rFonts w:ascii="Arial" w:cs="Arial" w:eastAsia="Arial" w:hAnsi="Arial"/>
          <w:sz w:val="24"/>
          <w:szCs w:val="24"/>
        </w:rPr>
        <w:t xml:space="preserve">46. В случае отсутствия отдельных подразделений, реализующих стандартную бюджетную меру, указанную в пункте 45 настоящей Инструкции, вышеуказанные меры не отражаются в проекте программного бюджета главного распорядителя.</w:t>
      </w:r>
    </w:p>
    <w:p>
      <w:pPr>
        <w:spacing w:after="60"/>
        <w:ind w:firstLine="567"/>
        <w:jc w:val="both"/>
      </w:pPr>
      <w:r>
        <w:rPr>
          <w:rFonts w:ascii="Arial" w:cs="Arial" w:eastAsia="Arial" w:hAnsi="Arial"/>
          <w:sz w:val="24"/>
          <w:szCs w:val="24"/>
        </w:rPr>
        <w:t xml:space="preserve">47. Бюджетная мера подлежит описанию ответственными за ее реализацию структурными подразделениями главного распорядителя по форме, приведенной в </w:t>
      </w:r>
      <w:hyperlink w:history="1" r:id="rIdpjr8-m3iibdr8k0nqtyzu">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и представляется членам рабочей группы, ответственным за свод ССБР. При заполнении формы необходимо указывать в специальной графе коды бюджетных мер, соответствующие кодам программной бюджетной классификации. Сформулированные бюджетные меры вносятся в раздел "Бюджетные меры" по форме, приведенной в </w:t>
      </w:r>
      <w:hyperlink w:history="1" r:id="rId7hdie5dbikbbbjd1jlnuf">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 При описании бюджетной меры указывается ее взаимосвязь с национальными стратегическими/программными документами и/или с секторальными/отраслевыми стратегическими/программными документами.</w:t>
      </w:r>
    </w:p>
    <w:p>
      <w:pPr>
        <w:spacing w:after="120"/>
        <w:ind w:firstLine="567"/>
        <w:jc w:val="both"/>
      </w:pPr>
      <w:r>
        <w:rPr>
          <w:rFonts w:ascii="Arial" w:cs="Arial" w:eastAsia="Arial" w:hAnsi="Arial"/>
          <w:sz w:val="24"/>
          <w:szCs w:val="24"/>
        </w:rPr>
        <w:t xml:space="preserve">48. Ответственность структурных подразделений за реализацию бюджетных программ/мер указывается по следующей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34"/>
        <w:gridCol w:w="7644"/>
      </w:tblGrid>
      <w:tr>
        <w:tc>
          <w:tcPr>
            <w:tcW w:type="dxa" w:w="25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бюджетной программы/меры</w:t>
            </w:r>
          </w:p>
        </w:tc>
        <w:tc>
          <w:tcPr>
            <w:tcW w:type="dxa" w:w="7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подразделения</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Программа 1. Наименование бюджетной программы</w:t>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Наименование бюджетной меры</w:t>
            </w:r>
          </w:p>
          <w:p>
            <w:pPr>
              <w:jc w:val="left"/>
            </w:pPr>
            <w:r>
              <w:rPr>
                <w:rFonts w:ascii="Arial" w:cs="Arial" w:eastAsia="Arial" w:hAnsi="Arial"/>
                <w:sz w:val="24"/>
                <w:szCs w:val="24"/>
              </w:rPr>
              <w:t xml:space="preserve">1.2.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список подразделений, ответственных за реализацию бюджетной меры.</w:t>
            </w:r>
          </w:p>
          <w:p>
            <w:pPr>
              <w:jc w:val="left"/>
            </w:pPr>
            <w:r>
              <w:rPr>
                <w:rFonts w:ascii="Arial" w:cs="Arial" w:eastAsia="Arial" w:hAnsi="Arial"/>
                <w:sz w:val="24"/>
                <w:szCs w:val="24"/>
              </w:rPr>
              <w:t xml:space="preserve">Если одно подразделение участвует в реализации нескольких бюджетных мер, рядом в скобках указывается процент участия, используемый при определении стоимости меры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Программа 2. Наименование бюджетной программы</w:t>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Наименование бюджетной меры</w:t>
            </w:r>
          </w:p>
        </w:tc>
        <w:tc>
          <w:tcPr>
            <w:tcW w:type="dxa" w:w="7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49. При заполнении формы приведенной в </w:t>
      </w:r>
      <w:hyperlink w:history="1" r:id="rIdpeuvqbn5g4tlqpl9frmn4">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бюджетные меры, представленные в предыдущем цикле формирования бюджета, отмечаются в соответствующей графе как "существующие". Пометка "новая мера" указывается в случае, если новая бюджетная мера планируется за счет перераспределения средств внутри бюджета главного распорядителя при изменении приоритетов внутри бюджетной программы или за счет экономии по другим бюджетным мерам. Изменение перечня бюджетных мер в той или иной бюджетной программе сопровождается соответствующим обоснованием.</w:t>
      </w:r>
    </w:p>
    <w:p>
      <w:pPr>
        <w:spacing w:after="60"/>
        <w:ind w:firstLine="567"/>
        <w:jc w:val="both"/>
      </w:pPr>
      <w:r>
        <w:rPr>
          <w:rFonts w:ascii="Arial" w:cs="Arial" w:eastAsia="Arial" w:hAnsi="Arial"/>
          <w:sz w:val="24"/>
          <w:szCs w:val="24"/>
        </w:rPr>
        <w:t xml:space="preserve">50. Бюджетные меры, касающиеся приоритетных направлений деятельности, требующие дополнительного финансирования, описываются по форме, указанной в </w:t>
      </w:r>
      <w:hyperlink w:history="1" r:id="rIdelu57yr79xlcgae96j7bd">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с пометкой "новая мера" и представляются в УГО отдельным приложением к ССБР с соответствующим обоснованием.</w:t>
      </w:r>
    </w:p>
    <w:p>
      <w:pPr>
        <w:spacing w:after="200" w:before="200"/>
        <w:jc w:val="center"/>
      </w:pPr>
      <w:r>
        <w:rPr>
          <w:rFonts w:ascii="Arial" w:cs="Arial" w:eastAsia="Arial" w:hAnsi="Arial"/>
          <w:b/>
          <w:bCs/>
          <w:sz w:val="24"/>
          <w:szCs w:val="24"/>
        </w:rPr>
        <w:t xml:space="preserve">§ Шаг 6. Определение стоимости бюджетных программ/мер</w:t>
      </w:r>
    </w:p>
    <w:p>
      <w:pPr>
        <w:spacing w:after="60"/>
        <w:ind w:firstLine="567"/>
        <w:jc w:val="both"/>
      </w:pPr>
      <w:r>
        <w:rPr>
          <w:rFonts w:ascii="Arial" w:cs="Arial" w:eastAsia="Arial" w:hAnsi="Arial"/>
          <w:sz w:val="24"/>
          <w:szCs w:val="24"/>
        </w:rPr>
        <w:t xml:space="preserve">51. Контрольные цифры по главным распорядителям должны быть распределены по бюджетным программам/мерам. Расчет расходов по бюджетным программам начинается с определения стоимости бюджетных мер.</w:t>
      </w:r>
    </w:p>
    <w:p>
      <w:pPr>
        <w:spacing w:after="60"/>
        <w:ind w:firstLine="567"/>
        <w:jc w:val="both"/>
      </w:pPr>
      <w:r>
        <w:rPr>
          <w:rFonts w:ascii="Arial" w:cs="Arial" w:eastAsia="Arial" w:hAnsi="Arial"/>
          <w:sz w:val="24"/>
          <w:szCs w:val="24"/>
        </w:rPr>
        <w:t xml:space="preserve">Стоимость бюджетной меры (сумма годовых бюджетных расходов) зависит от ее содержания. Распространенными разновидностями мер являются:</w:t>
      </w:r>
    </w:p>
    <w:p>
      <w:pPr>
        <w:spacing w:after="60"/>
        <w:ind w:firstLine="567"/>
        <w:jc w:val="both"/>
      </w:pPr>
      <w:r>
        <w:rPr>
          <w:rFonts w:ascii="Arial" w:cs="Arial" w:eastAsia="Arial" w:hAnsi="Arial"/>
          <w:sz w:val="24"/>
          <w:szCs w:val="24"/>
        </w:rPr>
        <w:t xml:space="preserve">1) группировка функций отдельного подразделения или подведомственной организации, направленных на реализацию бюджетной программы/меры. В этом случае стоимость бюджетной меры состоит из расходов на содержание данного подразделения (подведомственных/территориальных единиц), определяемых по категориям операционных расходов (оплата труда работников, использование товаров и услуг, проценты, субсидии, гранты, социальные пособия и выплаты, другие расходы) и расходам по операциям с финансовыми, нефинансовыми активами и обязательствами;</w:t>
      </w:r>
    </w:p>
    <w:p>
      <w:pPr>
        <w:spacing w:after="60"/>
        <w:ind w:firstLine="567"/>
        <w:jc w:val="both"/>
      </w:pPr>
      <w:r>
        <w:rPr>
          <w:rFonts w:ascii="Arial" w:cs="Arial" w:eastAsia="Arial" w:hAnsi="Arial"/>
          <w:sz w:val="24"/>
          <w:szCs w:val="24"/>
        </w:rPr>
        <w:t xml:space="preserve">2) в случае регулярно повторяющихся мероприятий стоимость бюджетной меры определяется исходя из планируемой годовой сметы расходов на проведение этих мероприятий;</w:t>
      </w:r>
    </w:p>
    <w:p>
      <w:pPr>
        <w:spacing w:after="60"/>
        <w:ind w:firstLine="567"/>
        <w:jc w:val="both"/>
      </w:pPr>
      <w:r>
        <w:rPr>
          <w:rFonts w:ascii="Arial" w:cs="Arial" w:eastAsia="Arial" w:hAnsi="Arial"/>
          <w:sz w:val="24"/>
          <w:szCs w:val="24"/>
        </w:rPr>
        <w:t xml:space="preserve">3) стоимость бюджетной меры по инвестиционным проектам планируется исходя из сметной стоимости расходов по проекту на планируемый период. Текущие расходы на содержание созданных активов после окончания проекта должны быть учтены в бюджетных мерах, которые имеют отношение к использованию таких активов.</w:t>
      </w:r>
    </w:p>
    <w:p>
      <w:pPr>
        <w:spacing w:after="60"/>
        <w:ind w:firstLine="567"/>
        <w:jc w:val="both"/>
      </w:pPr>
      <w:r>
        <w:rPr>
          <w:rFonts w:ascii="Arial" w:cs="Arial" w:eastAsia="Arial" w:hAnsi="Arial"/>
          <w:sz w:val="24"/>
          <w:szCs w:val="24"/>
        </w:rPr>
        <w:t xml:space="preserve">52. В случае осуществления бюджетной меры несколькими структурными подразделениями стоимость меры включает сумму общих расходов по всем подразделениям, реализующим бюджетную меру. В случае вовлеченности одного структурного подразделения в реализации нескольких бюджетных мер расходы на содержание этого структурного подразделения распределяются между этими бюджетными мерами пропорционально степени вовлеченности данного подразделения (в процентах) в реализацию той или иной меры. Такие пропорции выявляются также в результате функционального анализа.</w:t>
      </w:r>
    </w:p>
    <w:p>
      <w:pPr>
        <w:spacing w:after="60"/>
        <w:ind w:firstLine="567"/>
        <w:jc w:val="both"/>
      </w:pPr>
      <w:r>
        <w:rPr>
          <w:rFonts w:ascii="Arial" w:cs="Arial" w:eastAsia="Arial" w:hAnsi="Arial"/>
          <w:sz w:val="24"/>
          <w:szCs w:val="24"/>
        </w:rPr>
        <w:t xml:space="preserve">53. При расчете стоимости бюджетных мер, которые не относятся к реализации инвестиционных проектов и регулярным закупкам, оценивается планируемая величина расходов на содержание подразделений, ответственных за реализацию данной меры.</w:t>
      </w:r>
    </w:p>
    <w:p>
      <w:pPr>
        <w:spacing w:after="60"/>
        <w:ind w:firstLine="567"/>
        <w:jc w:val="both"/>
      </w:pPr>
      <w:r>
        <w:rPr>
          <w:rFonts w:ascii="Arial" w:cs="Arial" w:eastAsia="Arial" w:hAnsi="Arial"/>
          <w:sz w:val="24"/>
          <w:szCs w:val="24"/>
        </w:rPr>
        <w:t xml:space="preserve">54. Расходы по бюджетным мерам определяются по категориям расходов следующим образом:</w:t>
      </w:r>
    </w:p>
    <w:p>
      <w:pPr>
        <w:spacing w:after="60"/>
        <w:ind w:firstLine="567"/>
        <w:jc w:val="both"/>
      </w:pPr>
      <w:r>
        <w:rPr>
          <w:rFonts w:ascii="Arial" w:cs="Arial" w:eastAsia="Arial" w:hAnsi="Arial"/>
          <w:sz w:val="24"/>
          <w:szCs w:val="24"/>
        </w:rPr>
        <w:t xml:space="preserve">1) по категории "Оплата труда работников" расходы рассчитываются исходя из штатной численности сотрудников в подразделениях главного распорядителя, задействованных в реализации конкретной бюджетной меры;</w:t>
      </w:r>
    </w:p>
    <w:p>
      <w:pPr>
        <w:spacing w:after="60"/>
        <w:ind w:firstLine="567"/>
        <w:jc w:val="both"/>
      </w:pPr>
      <w:r>
        <w:rPr>
          <w:rFonts w:ascii="Arial" w:cs="Arial" w:eastAsia="Arial" w:hAnsi="Arial"/>
          <w:sz w:val="24"/>
          <w:szCs w:val="24"/>
        </w:rPr>
        <w:t xml:space="preserve">2) для расчета расходов по бюджетной мере по категории "Приобретение и использование товаров и услуг" плановую сумму расходов необходимо разделить пропорционально по административным подразделениям исходя из результатов функционального анализа и с учетом вклада в реализацию данной бюджетной меры. При этом расходы на транспортные услуги рассчитываются по количеству автомашин на балансе структурных подразделений главного распорядителя, задействованных в реализации данной бюджетной меры. Расходы на приобретение прочих услуг распределяются по бюджетным мерам с учетом запланированных мероприятий или закупок в рамках данной бюджетной меры. В случае, если плановая сумма расходов на приобретение прочих услуг не рассчитывается отдельно по каждому подразделению, то общую сумму необходимо разделить пропорционально по количеству административных подразделений исходя из результатов функционального анализа;</w:t>
      </w:r>
    </w:p>
    <w:p>
      <w:pPr>
        <w:spacing w:after="60"/>
        <w:ind w:firstLine="567"/>
        <w:jc w:val="both"/>
      </w:pPr>
      <w:r>
        <w:rPr>
          <w:rFonts w:ascii="Arial" w:cs="Arial" w:eastAsia="Arial" w:hAnsi="Arial"/>
          <w:sz w:val="24"/>
          <w:szCs w:val="24"/>
        </w:rPr>
        <w:t xml:space="preserve">3) расходы по категории "Проценты", "Субсидии", "Гранты", "Социальные пособия и выплаты", "Другие расходы", "Нефинансовые активы", "Финансовые активы", "Обязательства" отражаются в рамках бюджетных мер, в которых такие расходы существуют.</w:t>
      </w:r>
    </w:p>
    <w:p>
      <w:pPr>
        <w:spacing w:after="60"/>
        <w:ind w:firstLine="567"/>
        <w:jc w:val="both"/>
      </w:pPr>
      <w:r>
        <w:rPr>
          <w:rFonts w:ascii="Arial" w:cs="Arial" w:eastAsia="Arial" w:hAnsi="Arial"/>
          <w:sz w:val="24"/>
          <w:szCs w:val="24"/>
        </w:rPr>
        <w:t xml:space="preserve">55. Стоимость бюджетных мер, рассчитанная по источникам финансирования и по годам, вносится в таблицу "Бюджетная мера в разрезе источников финансирования" по форме, приведенной в </w:t>
      </w:r>
      <w:hyperlink w:history="1" r:id="rIditskx_mzymchzo_g8us4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56. Стоимость каждой бюджетной меры на очередной бюджетный год и прогнозируемый период вносится в таблицу "Структура бюджетных программ и мер" по форме, приведенной в </w:t>
      </w:r>
      <w:hyperlink w:history="1" r:id="rIdaz1p9xlf-0nndbc8xmmz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В таблицу "Структура бюджетных программ и мер" также включаются фактические расходы по бюджетной мере за предыдущий год и утвержденные/уточненные расходы по каждой бюджетной мере за текущий год.</w:t>
      </w:r>
    </w:p>
    <w:p>
      <w:pPr>
        <w:spacing w:after="60"/>
        <w:ind w:firstLine="567"/>
        <w:jc w:val="both"/>
      </w:pPr>
      <w:r>
        <w:rPr>
          <w:rFonts w:ascii="Arial" w:cs="Arial" w:eastAsia="Arial" w:hAnsi="Arial"/>
          <w:sz w:val="24"/>
          <w:szCs w:val="24"/>
        </w:rPr>
        <w:t xml:space="preserve">57. Расчет стоимости бюджетных программ осуществляется путем суммирования расходов по бюджетным мерам. Результаты расчетов вносятся в таблицу "Структура бюджетных программ и мер" по форме, приведенной в </w:t>
      </w:r>
      <w:hyperlink w:history="1" r:id="rId3r1qvgnonsxinuhqt4t8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 и в таблицу "Бюджетные программы в разрезе источников финансирования" по форме, приведенной в </w:t>
      </w:r>
      <w:hyperlink w:history="1" r:id="rIdma_-4two2mgyki75s1ky4">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58. Внебюджетные источники финансирования программ указываются отдельными строками по каждой программе. Итоговая сумма по всем внебюджетным источникам указывается отдельной строкой "Итого за счет внебюджетных источников".</w:t>
      </w:r>
    </w:p>
    <w:p>
      <w:pPr>
        <w:spacing w:after="200" w:before="200"/>
        <w:jc w:val="center"/>
      </w:pPr>
      <w:r>
        <w:rPr>
          <w:rFonts w:ascii="Arial" w:cs="Arial" w:eastAsia="Arial" w:hAnsi="Arial"/>
          <w:b/>
          <w:bCs/>
          <w:sz w:val="24"/>
          <w:szCs w:val="24"/>
        </w:rPr>
        <w:t xml:space="preserve">§ Шаг 7. Определение индикаторов результативности</w:t>
      </w:r>
    </w:p>
    <w:p>
      <w:pPr>
        <w:spacing w:after="60"/>
        <w:ind w:firstLine="567"/>
        <w:jc w:val="both"/>
      </w:pPr>
      <w:r>
        <w:rPr>
          <w:rFonts w:ascii="Arial" w:cs="Arial" w:eastAsia="Arial" w:hAnsi="Arial"/>
          <w:sz w:val="24"/>
          <w:szCs w:val="24"/>
        </w:rPr>
        <w:t xml:space="preserve">59. Индикаторы результативности должны быть определены для каждой бюджетной программы и для каждой бюджетной меры в отдельности.</w:t>
      </w:r>
    </w:p>
    <w:p>
      <w:pPr>
        <w:spacing w:after="60"/>
        <w:ind w:firstLine="567"/>
        <w:jc w:val="both"/>
      </w:pPr>
      <w:r>
        <w:rPr>
          <w:rFonts w:ascii="Arial" w:cs="Arial" w:eastAsia="Arial" w:hAnsi="Arial"/>
          <w:sz w:val="24"/>
          <w:szCs w:val="24"/>
        </w:rPr>
        <w:t xml:space="preserve">60. Индикаторы результативности определяются с указанием источников данных, единиц измерения, базовых и целевых значений для:</w:t>
      </w:r>
    </w:p>
    <w:p>
      <w:pPr>
        <w:spacing w:after="60"/>
        <w:ind w:firstLine="567"/>
        <w:jc w:val="both"/>
      </w:pPr>
      <w:r>
        <w:rPr>
          <w:rFonts w:ascii="Arial" w:cs="Arial" w:eastAsia="Arial" w:hAnsi="Arial"/>
          <w:sz w:val="24"/>
          <w:szCs w:val="24"/>
        </w:rPr>
        <w:t xml:space="preserve">1) бюджетной программы - в количестве от одного до трех;</w:t>
      </w:r>
    </w:p>
    <w:p>
      <w:pPr>
        <w:spacing w:after="60"/>
        <w:ind w:firstLine="567"/>
        <w:jc w:val="both"/>
      </w:pPr>
      <w:r>
        <w:rPr>
          <w:rFonts w:ascii="Arial" w:cs="Arial" w:eastAsia="Arial" w:hAnsi="Arial"/>
          <w:sz w:val="24"/>
          <w:szCs w:val="24"/>
        </w:rPr>
        <w:t xml:space="preserve">2) бюджетной меры - в количестве от одного до пяти.</w:t>
      </w:r>
    </w:p>
    <w:p>
      <w:pPr>
        <w:spacing w:after="60"/>
        <w:ind w:firstLine="567"/>
        <w:jc w:val="both"/>
      </w:pPr>
      <w:r>
        <w:rPr>
          <w:rFonts w:ascii="Arial" w:cs="Arial" w:eastAsia="Arial" w:hAnsi="Arial"/>
          <w:sz w:val="24"/>
          <w:szCs w:val="24"/>
        </w:rPr>
        <w:t xml:space="preserve">61. Индикаторы результативности программ и мер отражаются соответственно в таблице "Индикаторы результативности по бюджетной мере" по форме, приведенной в </w:t>
      </w:r>
      <w:hyperlink w:history="1" r:id="rIdyc8wfjmmscdxowdopemb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настоящей Инструкции, и в таблице "Структура бюджетных программ и мер" по форме, приведенной в </w:t>
      </w:r>
      <w:hyperlink w:history="1" r:id="rIdrccrkxoml1_eeqmryffw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sz w:val="24"/>
          <w:szCs w:val="24"/>
        </w:rPr>
        <w:t xml:space="preserve">62. Индикаторы результативности бюджетных программ определяются в соответствии с Инструкцией о порядке определения индикаторов результативности бюджетных программ и мер, утвержденной решением Правительства Кыргызской Республики.</w:t>
      </w:r>
    </w:p>
    <w:p>
      <w:pPr>
        <w:spacing w:after="200" w:before="200"/>
        <w:jc w:val="center"/>
      </w:pPr>
      <w:r>
        <w:rPr>
          <w:rFonts w:ascii="Arial" w:cs="Arial" w:eastAsia="Arial" w:hAnsi="Arial"/>
          <w:b/>
          <w:bCs/>
          <w:sz w:val="24"/>
          <w:szCs w:val="24"/>
        </w:rPr>
        <w:t xml:space="preserve">§ Шаг 8. Анализ финансирования</w:t>
      </w:r>
    </w:p>
    <w:p>
      <w:pPr>
        <w:spacing w:after="60"/>
        <w:ind w:firstLine="567"/>
        <w:jc w:val="both"/>
      </w:pPr>
      <w:r>
        <w:rPr>
          <w:rFonts w:ascii="Arial" w:cs="Arial" w:eastAsia="Arial" w:hAnsi="Arial"/>
          <w:sz w:val="24"/>
          <w:szCs w:val="24"/>
        </w:rPr>
        <w:t xml:space="preserve">63. Анализ финансирования сектора/отрасли содержит:</w:t>
      </w:r>
    </w:p>
    <w:p>
      <w:pPr>
        <w:spacing w:after="60"/>
        <w:ind w:firstLine="567"/>
        <w:jc w:val="both"/>
      </w:pPr>
      <w:r>
        <w:rPr>
          <w:rFonts w:ascii="Arial" w:cs="Arial" w:eastAsia="Arial" w:hAnsi="Arial"/>
          <w:sz w:val="24"/>
          <w:szCs w:val="24"/>
        </w:rPr>
        <w:t xml:space="preserve">1) анализ тенденций финансирования сектора/отрасли или главного распорядителя за пятилетний период (факт предыдущего года, утвержденные расходы на текущий год и трехлетний прогноз) в разрезе источников финансирования;</w:t>
      </w:r>
    </w:p>
    <w:p>
      <w:pPr>
        <w:spacing w:after="60"/>
        <w:ind w:firstLine="567"/>
        <w:jc w:val="both"/>
      </w:pPr>
      <w:r>
        <w:rPr>
          <w:rFonts w:ascii="Arial" w:cs="Arial" w:eastAsia="Arial" w:hAnsi="Arial"/>
          <w:sz w:val="24"/>
          <w:szCs w:val="24"/>
        </w:rPr>
        <w:t xml:space="preserve">2) анализ внутрисекторального распределения расходов по программам.</w:t>
      </w:r>
    </w:p>
    <w:p>
      <w:pPr>
        <w:spacing w:after="60"/>
        <w:ind w:firstLine="567"/>
        <w:jc w:val="both"/>
      </w:pPr>
      <w:r>
        <w:rPr>
          <w:rFonts w:ascii="Arial" w:cs="Arial" w:eastAsia="Arial" w:hAnsi="Arial"/>
          <w:sz w:val="24"/>
          <w:szCs w:val="24"/>
        </w:rPr>
        <w:t xml:space="preserve">64. Анализ финансирования является составной частью пояснительной записки и представляется по форме, приведенной в </w:t>
      </w:r>
      <w:hyperlink w:history="1" r:id="rIdrkt1r8zdisim351vdubns">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настоящей Инструкции.</w:t>
      </w:r>
    </w:p>
    <w:p>
      <w:pPr>
        <w:spacing w:after="200" w:before="200"/>
        <w:jc w:val="center"/>
      </w:pPr>
      <w:r>
        <w:rPr>
          <w:rFonts w:ascii="Arial" w:cs="Arial" w:eastAsia="Arial" w:hAnsi="Arial"/>
          <w:b/>
          <w:bCs/>
          <w:sz w:val="24"/>
          <w:szCs w:val="24"/>
        </w:rPr>
        <w:t xml:space="preserve">5. Порядок рассмотрения ССБР</w:t>
      </w:r>
    </w:p>
    <w:p>
      <w:pPr>
        <w:spacing w:after="60"/>
        <w:ind w:firstLine="567"/>
        <w:jc w:val="both"/>
      </w:pPr>
      <w:r>
        <w:rPr>
          <w:rFonts w:ascii="Arial" w:cs="Arial" w:eastAsia="Arial" w:hAnsi="Arial"/>
          <w:sz w:val="24"/>
          <w:szCs w:val="24"/>
        </w:rPr>
        <w:t xml:space="preserve">65. Проекты ССБР и индикаторы результативности главных распорядителей подлежат общественному обсуждению, включая представителей общественного совета главного распорядителя (при наличии), в срок не позднее 25 апреля текущего года.</w:t>
      </w:r>
    </w:p>
    <w:p>
      <w:pPr>
        <w:spacing w:after="60"/>
        <w:ind w:firstLine="567"/>
        <w:jc w:val="both"/>
      </w:pPr>
      <w:r>
        <w:rPr>
          <w:rFonts w:ascii="Arial" w:cs="Arial" w:eastAsia="Arial" w:hAnsi="Arial"/>
          <w:sz w:val="24"/>
          <w:szCs w:val="24"/>
        </w:rPr>
        <w:t xml:space="preserve">66. По итогам проведения общественных слушаний главные распорядители готовят протокол общественного обсуждения, матрицу учета замечаний и предложений по итогам общественного обсуждения проекта ССБР и представляют их в уполномоченный государственный орган вместе с проектом ССБР.</w:t>
      </w:r>
    </w:p>
    <w:p>
      <w:pPr>
        <w:spacing w:after="60"/>
        <w:ind w:firstLine="567"/>
        <w:jc w:val="both"/>
      </w:pPr>
      <w:r>
        <w:rPr>
          <w:rFonts w:ascii="Arial" w:cs="Arial" w:eastAsia="Arial" w:hAnsi="Arial"/>
          <w:sz w:val="24"/>
          <w:szCs w:val="24"/>
        </w:rPr>
        <w:t xml:space="preserve">67. При рассмотрении проекта ССБР главный распорядитель оценивает приоритетность бюджетной программы/меры, которая осуществляется путем определения среднего значения двух оценок: собственной оценки главного распорядителя и обобщенной оценки общественного совета главного распорядителя, экспертного сообщества и научных кругов. Оценка приоритетности бюджетной программы/меры осуществляется исходя из предположения успешного достижения целевых индикаторов бюджетных программ/мер, запланированных на период ее реализации, а также полной реализации проекта Плана мероприятий по исполнению бюджетных программ главного распорядителя. Оценка приоритетности производится в соответствии с критериями, определенными в пункте 68 настоящей Инструкции.</w:t>
      </w:r>
    </w:p>
    <w:p>
      <w:pPr>
        <w:spacing w:after="60"/>
        <w:ind w:firstLine="567"/>
        <w:jc w:val="both"/>
      </w:pPr>
      <w:r>
        <w:rPr>
          <w:rFonts w:ascii="Arial" w:cs="Arial" w:eastAsia="Arial" w:hAnsi="Arial"/>
          <w:sz w:val="24"/>
          <w:szCs w:val="24"/>
        </w:rPr>
        <w:t xml:space="preserve">68. В качестве критериев оценки приоритетности бюджетных программ/мер применяются:</w:t>
      </w:r>
    </w:p>
    <w:p>
      <w:pPr>
        <w:spacing w:after="60"/>
        <w:ind w:firstLine="567"/>
        <w:jc w:val="both"/>
      </w:pPr>
      <w:r>
        <w:rPr>
          <w:rFonts w:ascii="Arial" w:cs="Arial" w:eastAsia="Arial" w:hAnsi="Arial"/>
          <w:sz w:val="24"/>
          <w:szCs w:val="24"/>
        </w:rPr>
        <w:t xml:space="preserve">1) соответствие целей и индикаторов бюджетных программ/мер приоритетам национального стратегического/программного документа (не соответствует - 0 баллов, соответствует национальному стратегическому/программному документу - 5 баллов);</w:t>
      </w:r>
    </w:p>
    <w:p>
      <w:pPr>
        <w:spacing w:after="60"/>
        <w:ind w:firstLine="567"/>
        <w:jc w:val="both"/>
      </w:pPr>
      <w:r>
        <w:rPr>
          <w:rFonts w:ascii="Arial" w:cs="Arial" w:eastAsia="Arial" w:hAnsi="Arial"/>
          <w:sz w:val="24"/>
          <w:szCs w:val="24"/>
        </w:rPr>
        <w:t xml:space="preserve">2) соответствие целей и индикаторов бюджетных программ/мер приоритетам секторальных/отраслевых стратегических/программных документов (не соответствует - 0 баллов, соответствует секторальным/отраслевым стратегическим и программным документам - 5 баллов);</w:t>
      </w:r>
    </w:p>
    <w:p>
      <w:pPr>
        <w:spacing w:after="60"/>
        <w:ind w:firstLine="567"/>
        <w:jc w:val="both"/>
      </w:pPr>
      <w:r>
        <w:rPr>
          <w:rFonts w:ascii="Arial" w:cs="Arial" w:eastAsia="Arial" w:hAnsi="Arial"/>
          <w:sz w:val="24"/>
          <w:szCs w:val="24"/>
        </w:rPr>
        <w:t xml:space="preserve">3) актуальность бюджетной программы/меры, определяющая степень соответствия бюджетной программы/меры решению проблем, существующим в секторе/отрасли, в котором высокая степень соответствия оценивается в 5 баллов, частичное соответствие - 3 балла, несоответствие - 0 баллов);</w:t>
      </w:r>
    </w:p>
    <w:p>
      <w:pPr>
        <w:spacing w:after="60"/>
        <w:ind w:firstLine="567"/>
        <w:jc w:val="both"/>
      </w:pPr>
      <w:r>
        <w:rPr>
          <w:rFonts w:ascii="Arial" w:cs="Arial" w:eastAsia="Arial" w:hAnsi="Arial"/>
          <w:sz w:val="24"/>
          <w:szCs w:val="24"/>
        </w:rPr>
        <w:t xml:space="preserve">4) результативность бюджетной программы за предыдущий период предполагающая степень достижения целевых индикаторов за предыдущий период (высокая степень - плановые показатели достигнуты на 100 процентов - 5 баллов, средняя степень - плановые показатели достигнуты на 50 и более процентов по объективным причинам - 3 балла, нерезультативная - плановые показатели не выполнены либо выполнены менее чем на 50 процентов - 0 баллов);</w:t>
      </w:r>
    </w:p>
    <w:p>
      <w:pPr>
        <w:spacing w:after="60"/>
        <w:ind w:firstLine="567"/>
        <w:jc w:val="both"/>
      </w:pPr>
      <w:r>
        <w:rPr>
          <w:rFonts w:ascii="Arial" w:cs="Arial" w:eastAsia="Arial" w:hAnsi="Arial"/>
          <w:sz w:val="24"/>
          <w:szCs w:val="24"/>
        </w:rPr>
        <w:t xml:space="preserve">5) экономический вклад, определяющий ожидаемый вклад реализации бюджетной программы/меры в экономическое развитие (значительный вклад - 5 баллов, незначительный вклад - 3 балла, не влияет - ответ "неприменимо");</w:t>
      </w:r>
    </w:p>
    <w:p>
      <w:pPr>
        <w:spacing w:after="60"/>
        <w:ind w:firstLine="567"/>
        <w:jc w:val="both"/>
      </w:pPr>
      <w:r>
        <w:rPr>
          <w:rFonts w:ascii="Arial" w:cs="Arial" w:eastAsia="Arial" w:hAnsi="Arial"/>
          <w:sz w:val="24"/>
          <w:szCs w:val="24"/>
        </w:rPr>
        <w:t xml:space="preserve">6) социальный вклад, оценивающий ожидаемый вклад реализации бюджетной программы/меры в социальное развитие, а также планируемое воздействие на жизнедеятельность малообеспеченных и социально уязвимых слоев населения (дети, пожилые граждане, лица с ограниченными возможностями здоровья, лица, находящиеся в трудной жизненной ситуации) либо направлены на создание равных возможностей для лиц разного пола (высокая - 5 баллов, средняя - 3 балла, не влияет - ответ "неприменимо");</w:t>
      </w:r>
    </w:p>
    <w:p>
      <w:pPr>
        <w:spacing w:after="60"/>
        <w:ind w:firstLine="567"/>
        <w:jc w:val="both"/>
      </w:pPr>
      <w:r>
        <w:rPr>
          <w:rFonts w:ascii="Arial" w:cs="Arial" w:eastAsia="Arial" w:hAnsi="Arial"/>
          <w:sz w:val="24"/>
          <w:szCs w:val="24"/>
        </w:rPr>
        <w:t xml:space="preserve">7) экологический вклад, характеризующий влияние программы/меры на окружающую среду (положительное влияние - 5 баллов, отрицательное влияние - минус 1 балл, не влияет - ответ "неприменимо");</w:t>
      </w:r>
    </w:p>
    <w:p>
      <w:pPr>
        <w:spacing w:after="60"/>
        <w:ind w:firstLine="567"/>
        <w:jc w:val="both"/>
      </w:pPr>
      <w:r>
        <w:rPr>
          <w:rFonts w:ascii="Arial" w:cs="Arial" w:eastAsia="Arial" w:hAnsi="Arial"/>
          <w:sz w:val="24"/>
          <w:szCs w:val="24"/>
        </w:rPr>
        <w:t xml:space="preserve">8) комплексность бюджетной программы главного распорядителя оценивает обоснованность бюджетных мер и мероприятий по исполнению бюджетной программы (план мероприятий обеспечивает своевременное и полное достижение цели бюджетной программы - 5 баллов, план мероприятий обеспечивает частичное достижение цели бюджетной программы - 3 балла, план мероприятий отсутствует - 0 баллов).</w:t>
      </w:r>
    </w:p>
    <w:p>
      <w:pPr>
        <w:spacing w:after="60"/>
        <w:ind w:firstLine="567"/>
        <w:jc w:val="both"/>
      </w:pPr>
      <w:r>
        <w:rPr>
          <w:rFonts w:ascii="Arial" w:cs="Arial" w:eastAsia="Arial" w:hAnsi="Arial"/>
          <w:sz w:val="24"/>
          <w:szCs w:val="24"/>
        </w:rPr>
        <w:t xml:space="preserve">69. Оценка приоритетности бюджетной программы/меры определяется исходя из значения, определенного из расчета общей суммы баллов, разделенных на количество рассмотренных критериев, указанных в пункте 68 настоящей Инструкции. Критерии с оценкой "неприменимо" не учитываются при расчете приоритетности программы/меры. Бюджетная программа, набравшая наибольшее количество баллов, считается наиболее приоритетной.</w:t>
      </w:r>
    </w:p>
    <w:p>
      <w:pPr>
        <w:spacing w:after="60"/>
        <w:ind w:firstLine="567"/>
        <w:jc w:val="both"/>
      </w:pPr>
      <w:r>
        <w:rPr>
          <w:rFonts w:ascii="Arial" w:cs="Arial" w:eastAsia="Arial" w:hAnsi="Arial"/>
          <w:sz w:val="24"/>
          <w:szCs w:val="24"/>
        </w:rPr>
        <w:t xml:space="preserve">70. Проект ССБР, оценка приоритетности бюджетных программ/мер рассматриваются и одобряются руководителями главных распорядителей до представления в уполномоченный государственный орган.</w:t>
      </w:r>
    </w:p>
    <w:p>
      <w:pPr>
        <w:spacing w:after="60"/>
        <w:ind w:firstLine="567"/>
        <w:jc w:val="both"/>
      </w:pPr>
      <w:r>
        <w:rPr>
          <w:rFonts w:ascii="Arial" w:cs="Arial" w:eastAsia="Arial" w:hAnsi="Arial"/>
          <w:sz w:val="24"/>
          <w:szCs w:val="24"/>
        </w:rPr>
        <w:t xml:space="preserve">71. Уполномоченный государственный орган рассматривает проекты ССБР на предмет соответствия требованиям настоящей Инструкции и Инструкции о порядке определения индикаторов результативности бюджетных программ и мер, утверждаемой Правительством Кыргызской Республики, и в случае несоответствия изложенным требованиям, возвращает представленный проект ССБР на доработку главному распорядителю.</w:t>
      </w:r>
    </w:p>
    <w:p>
      <w:pPr>
        <w:spacing w:after="60"/>
        <w:ind w:firstLine="567"/>
        <w:jc w:val="both"/>
      </w:pPr>
      <w:r>
        <w:rPr>
          <w:rFonts w:ascii="Arial" w:cs="Arial" w:eastAsia="Arial" w:hAnsi="Arial"/>
          <w:sz w:val="24"/>
          <w:szCs w:val="24"/>
        </w:rPr>
        <w:t xml:space="preserve">72. Главный распорядитель дорабатывает проект ССБР с учетом замечаний и предложений уполномоченного государственного органа. Доработанный проект ССБР представляется в уполномоченный государственный орган в течение трех рабочих дней со дня его направления на доработку.</w:t>
      </w:r>
    </w:p>
    <w:p>
      <w:pPr>
        <w:spacing w:after="60"/>
        <w:ind w:firstLine="567"/>
        <w:jc w:val="both"/>
      </w:pPr>
      <w:r>
        <w:rPr>
          <w:rFonts w:ascii="Arial" w:cs="Arial" w:eastAsia="Arial" w:hAnsi="Arial"/>
          <w:sz w:val="24"/>
          <w:szCs w:val="24"/>
        </w:rPr>
        <w:t xml:space="preserve">73. Свод представленных среднесрочных стратегий для включения в проект Основных направлений фискальной политики обеспечивается уполномоченным государственным органом.</w:t>
      </w:r>
    </w:p>
    <w:p>
      <w:pPr>
        <w:spacing w:after="60"/>
        <w:ind w:firstLine="567"/>
        <w:jc w:val="both"/>
      </w:pPr>
      <w:r>
        <w:rPr>
          <w:rFonts w:ascii="Arial" w:cs="Arial" w:eastAsia="Arial" w:hAnsi="Arial"/>
          <w:sz w:val="24"/>
          <w:szCs w:val="24"/>
        </w:rPr>
        <w:t xml:space="preserve">74. Перечень приоритетных бюджетных программ/мер с учетом представленных главными распорядителями оценок приоритетности бюджетных программ/мер для утверждения соответствующим законом о республиканском бюджете формируется УГО.</w:t>
      </w:r>
    </w:p>
    <w:p>
      <w:pPr>
        <w:spacing w:after="60"/>
        <w:ind w:firstLine="567"/>
        <w:jc w:val="both"/>
      </w:pPr>
      <w:r>
        <w:rPr>
          <w:rFonts w:ascii="Arial" w:cs="Arial" w:eastAsia="Arial" w:hAnsi="Arial"/>
          <w:sz w:val="24"/>
          <w:szCs w:val="24"/>
        </w:rPr>
        <w:t xml:space="preserve">75. Распределение бюджетных ассигнований на реализацию бюджетных программ на очередной бюджетный год и прогнозируемый период определяется соответствующим законом о республиканском бюджете.</w:t>
      </w:r>
    </w:p>
    <w:p>
      <w:pPr>
        <w:spacing w:after="200" w:before="200"/>
        <w:jc w:val="center"/>
      </w:pPr>
      <w:r>
        <w:rPr>
          <w:rFonts w:ascii="Arial" w:cs="Arial" w:eastAsia="Arial" w:hAnsi="Arial"/>
          <w:b/>
          <w:bCs/>
          <w:sz w:val="24"/>
          <w:szCs w:val="24"/>
        </w:rPr>
        <w:t xml:space="preserve">6. Исполнение среднесрочных стратегий главных распорядителей</w:t>
      </w:r>
    </w:p>
    <w:p>
      <w:pPr>
        <w:spacing w:after="120"/>
        <w:ind w:firstLine="567"/>
        <w:jc w:val="both"/>
      </w:pPr>
      <w:r>
        <w:rPr>
          <w:rFonts w:ascii="Arial" w:cs="Arial" w:eastAsia="Arial" w:hAnsi="Arial"/>
          <w:sz w:val="24"/>
          <w:szCs w:val="24"/>
        </w:rPr>
        <w:t xml:space="preserve">76. Проект плана мероприятий по исполнению бюджетных программ на стадии разработки проекта ССБР разрабатывается главными распорядителями по следующей форме: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5"/>
        <w:gridCol w:w="1643"/>
        <w:gridCol w:w="1683"/>
        <w:gridCol w:w="1745"/>
        <w:gridCol w:w="1875"/>
        <w:gridCol w:w="1358"/>
      </w:tblGrid>
      <w:tr>
        <w:tc>
          <w:tcPr>
            <w:tcW w:type="dxa" w:w="18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программы/меры</w:t>
            </w:r>
          </w:p>
        </w:tc>
        <w:tc>
          <w:tcPr>
            <w:tcW w:type="dxa" w:w="16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вовлеченных сотрудников</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w:t>
            </w:r>
            <w:r>
              <w:rPr>
                <w:rFonts w:ascii="Arial" w:cs="Arial" w:eastAsia="Arial" w:hAnsi="Arial"/>
                <w:b/>
                <w:bCs/>
                <w:sz w:val="24"/>
                <w:szCs w:val="24"/>
              </w:rPr>
              <w:t xml:space="preserve">(</w:t>
            </w:r>
            <w:r>
              <w:rPr>
                <w:rFonts w:ascii="Arial" w:cs="Arial" w:eastAsia="Arial" w:hAnsi="Arial"/>
                <w:b/>
                <w:bCs/>
                <w:sz w:val="24"/>
                <w:szCs w:val="24"/>
              </w:rPr>
              <w:t xml:space="preserve">*</w:t>
            </w:r>
            <w:r>
              <w:rPr>
                <w:rFonts w:ascii="Arial" w:cs="Arial" w:eastAsia="Arial" w:hAnsi="Arial"/>
                <w:b/>
                <w:bCs/>
                <w:sz w:val="24"/>
                <w:szCs w:val="24"/>
              </w:rPr>
              <w:t xml:space="preserve">)</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8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Примечание. (*) В случаях, когда выполнение мероприятия входит в должностные обязанности ответственных исполнителей, в данной графе указывается "В рамках должностных обязанностей".</w:t>
      </w:r>
    </w:p>
    <w:p>
      <w:pPr>
        <w:spacing w:after="60"/>
        <w:ind w:firstLine="567"/>
        <w:jc w:val="both"/>
      </w:pPr>
      <w:r>
        <w:rPr>
          <w:rFonts w:ascii="Arial" w:cs="Arial" w:eastAsia="Arial" w:hAnsi="Arial"/>
          <w:sz w:val="24"/>
          <w:szCs w:val="24"/>
        </w:rPr>
        <w:t xml:space="preserve">77. ССБР исполняются главными распорядителями посредством исполнения программного бюджета, рассмотренного и исполненного в соответствии с Инструкцией о порядке формирования, рассмотрения и исполнения бюджетов на программной основе,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СТРУКТУРА
 бюджетных программ и мер ССБР по сектору _______________
 на 20__-20__ гг.</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07"/>
        <w:gridCol w:w="307"/>
        <w:gridCol w:w="1388"/>
        <w:gridCol w:w="735"/>
        <w:gridCol w:w="1533"/>
        <w:gridCol w:w="930"/>
        <w:gridCol w:w="289"/>
        <w:gridCol w:w="289"/>
        <w:gridCol w:w="289"/>
        <w:gridCol w:w="289"/>
        <w:gridCol w:w="289"/>
        <w:gridCol w:w="1048"/>
        <w:gridCol w:w="446"/>
        <w:gridCol w:w="578"/>
        <w:gridCol w:w="289"/>
        <w:gridCol w:w="289"/>
        <w:gridCol w:w="289"/>
        <w:gridCol w:w="289"/>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МЕ</w:t>
            </w:r>
          </w:p>
        </w:tc>
        <w:tc>
          <w:tcPr>
            <w:tcW w:type="dxa" w:w="3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ИН</w:t>
            </w:r>
          </w:p>
        </w:tc>
        <w:tc>
          <w:tcPr>
            <w:tcW w:type="dxa" w:w="13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Менеджер Программы</w:t>
            </w:r>
          </w:p>
        </w:tc>
        <w:tc>
          <w:tcPr>
            <w:tcW w:type="dxa" w:w="15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Соисполнитель</w:t>
            </w:r>
          </w:p>
        </w:tc>
        <w:tc>
          <w:tcPr>
            <w:tcW w:type="dxa" w:w="14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(по программам/мерам) (тыс. сом)</w:t>
            </w:r>
          </w:p>
        </w:tc>
        <w:tc>
          <w:tcPr>
            <w:tcW w:type="dxa" w:w="10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результативности</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изм-я</w:t>
            </w:r>
          </w:p>
        </w:tc>
        <w:tc>
          <w:tcPr>
            <w:tcW w:type="dxa" w:w="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tc>
        <w:tc>
          <w:tcPr>
            <w:tcW w:type="dxa" w:w="11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p>
            <w:pPr>
              <w:jc w:val="left"/>
            </w:pPr>
            <w:r>
              <w:rPr>
                <w:rFonts w:ascii="Arial" w:cs="Arial" w:eastAsia="Arial" w:hAnsi="Arial"/>
                <w:sz w:val="24"/>
                <w:szCs w:val="24"/>
              </w:rPr>
              <w:t xml:space="preserve">Цели программы: Координирующее и организационное воздействие на реализацию других программ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Отношение расходов на заработную плату по Программе 001 к сумме расходов на заработную плату по всем программам</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 исполнения бюджета без нарушений</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выигранных судебных процессов по трудовым спорам</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Отношение выигранных судебных дел к их общему количеству</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ед./ед.</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положительных упоминаний мин-ва/вед-ва в средствах массовой информации</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сотрудников служб обеспечения от общей численности сотрудников центрального аппарата</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координация на региональном уровне</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p>
            <w:pPr>
              <w:jc w:val="left"/>
            </w:pPr>
            <w:r>
              <w:rPr>
                <w:rFonts w:ascii="Arial" w:cs="Arial" w:eastAsia="Arial" w:hAnsi="Arial"/>
                <w:sz w:val="24"/>
                <w:szCs w:val="24"/>
              </w:rPr>
              <w:t xml:space="preserve">Цель программы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(целевой индикатор по Программе)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(индикатор результатов по мере)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программы</w:t>
            </w:r>
          </w:p>
          <w:p>
            <w:pPr>
              <w:jc w:val="left"/>
            </w:pPr>
            <w:r>
              <w:rPr>
                <w:rFonts w:ascii="Arial" w:cs="Arial" w:eastAsia="Arial" w:hAnsi="Arial"/>
                <w:sz w:val="24"/>
                <w:szCs w:val="24"/>
              </w:rPr>
              <w:t xml:space="preserve">Цель программы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(целевой индикатор по Программе)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результативности (индикатор результатов по мере)</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0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0"/>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год X</w:t>
      </w:r>
      <w:r>
        <w:rPr>
          <w:rFonts w:ascii="Arial" w:cs="Arial" w:eastAsia="Arial" w:hAnsi="Arial"/>
          <w:sz w:val="24"/>
          <w:szCs w:val="24"/>
        </w:rPr>
        <w:t xml:space="preserve">	</w:t>
      </w:r>
      <w:r>
        <w:rPr>
          <w:rFonts w:ascii="Arial" w:cs="Arial" w:eastAsia="Arial" w:hAnsi="Arial"/>
          <w:sz w:val="24"/>
          <w:szCs w:val="24"/>
        </w:rPr>
        <w:t xml:space="preserve">текущий год, в котором осуществляется исполнение бюджета, составление и рассмотрение проекта бюджета на очередной бюджетный год и прогнозируемый период.</w:t>
      </w:r>
    </w:p>
    <w:p>
      <w:pPr>
        <w:tabs>
          <w:tab w:val="right" w:pos="10178"/>
        </w:tabs>
        <w:spacing w:after="120"/>
      </w:pPr>
      <w:r>
        <w:rPr>
          <w:rFonts w:ascii="Arial" w:cs="Arial" w:eastAsia="Arial" w:hAnsi="Arial"/>
          <w:b/>
          <w:bCs/>
          <w:sz w:val="24"/>
          <w:szCs w:val="24"/>
        </w:rPr>
        <w:t xml:space="preserve">год X-1</w:t>
      </w:r>
      <w:r>
        <w:rPr>
          <w:rFonts w:ascii="Arial" w:cs="Arial" w:eastAsia="Arial" w:hAnsi="Arial"/>
          <w:sz w:val="24"/>
          <w:szCs w:val="24"/>
        </w:rPr>
        <w:t xml:space="preserve">	</w:t>
      </w:r>
      <w:r>
        <w:rPr>
          <w:rFonts w:ascii="Arial" w:cs="Arial" w:eastAsia="Arial" w:hAnsi="Arial"/>
          <w:sz w:val="24"/>
          <w:szCs w:val="24"/>
        </w:rPr>
        <w:t xml:space="preserve">год, предшествующий текущему бюджетному году.</w:t>
      </w:r>
    </w:p>
    <w:p>
      <w:pPr>
        <w:tabs>
          <w:tab w:val="right" w:pos="10178"/>
        </w:tabs>
        <w:spacing w:after="120"/>
      </w:pPr>
      <w:r>
        <w:rPr>
          <w:rFonts w:ascii="Arial" w:cs="Arial" w:eastAsia="Arial" w:hAnsi="Arial"/>
          <w:b/>
          <w:bCs/>
          <w:sz w:val="24"/>
          <w:szCs w:val="24"/>
        </w:rPr>
        <w:t xml:space="preserve">годы Х+1 и Х+2+Х+3</w:t>
      </w:r>
      <w:r>
        <w:rPr>
          <w:rFonts w:ascii="Arial" w:cs="Arial" w:eastAsia="Arial" w:hAnsi="Arial"/>
          <w:sz w:val="24"/>
          <w:szCs w:val="24"/>
        </w:rPr>
        <w:t xml:space="preserve">	</w:t>
      </w:r>
      <w:r>
        <w:rPr>
          <w:rFonts w:ascii="Arial" w:cs="Arial" w:eastAsia="Arial" w:hAnsi="Arial"/>
          <w:sz w:val="24"/>
          <w:szCs w:val="24"/>
        </w:rPr>
        <w:t xml:space="preserve">очередной бюджетный год и прогнозируемый период.</w:t>
      </w:r>
    </w:p>
    <w:p>
      <w:pPr>
        <w:tabs>
          <w:tab w:val="right" w:pos="10178"/>
        </w:tabs>
        <w:spacing w:after="120"/>
      </w:pPr>
      <w:r>
        <w:rPr>
          <w:rFonts w:ascii="Arial" w:cs="Arial" w:eastAsia="Arial" w:hAnsi="Arial"/>
          <w:b/>
          <w:bCs/>
          <w:sz w:val="24"/>
          <w:szCs w:val="24"/>
        </w:rPr>
        <w:t xml:space="preserve">Код ИН</w:t>
      </w:r>
      <w:r>
        <w:rPr>
          <w:rFonts w:ascii="Arial" w:cs="Arial" w:eastAsia="Arial" w:hAnsi="Arial"/>
          <w:sz w:val="24"/>
          <w:szCs w:val="24"/>
        </w:rPr>
        <w:t xml:space="preserve">	</w:t>
      </w:r>
      <w:r>
        <w:rPr>
          <w:rFonts w:ascii="Arial" w:cs="Arial" w:eastAsia="Arial" w:hAnsi="Arial"/>
          <w:sz w:val="24"/>
          <w:szCs w:val="24"/>
        </w:rPr>
        <w:t xml:space="preserve">код инициативы: (0) означает, что реализация данной программы и меры осуществляется в соответствии с набором функций, установленных Положением о главном распорядителе; 1) означает, что данная программа и мера (или используемый для нее индикатор результативности) полностью соответствует одному из приоритетов национального стратегического/программного документа и/или отражены в стратегиях; (2) означает, что данная программа и мера соответствует одному из приоритетов секторальных стратегических и программных документов или Планах действий главного распорядителя; (3) означает, что программа или мера осуществляются в соответствии с нормативным актом, предусматривающим целевое финансирование данного направления.</w:t>
      </w:r>
    </w:p>
    <w:p>
      <w:pPr>
        <w:tabs>
          <w:tab w:val="right" w:pos="10178"/>
        </w:tabs>
        <w:spacing w:after="120"/>
      </w:pPr>
      <w:r>
        <w:rPr>
          <w:rFonts w:ascii="Arial" w:cs="Arial" w:eastAsia="Arial" w:hAnsi="Arial"/>
          <w:b/>
          <w:bCs/>
          <w:sz w:val="24"/>
          <w:szCs w:val="24"/>
        </w:rPr>
        <w:t xml:space="preserve">Код ПР</w:t>
      </w:r>
      <w:r>
        <w:rPr>
          <w:rFonts w:ascii="Arial" w:cs="Arial" w:eastAsia="Arial" w:hAnsi="Arial"/>
          <w:sz w:val="24"/>
          <w:szCs w:val="24"/>
        </w:rPr>
        <w:t xml:space="preserve">	</w:t>
      </w:r>
      <w:r>
        <w:rPr>
          <w:rFonts w:ascii="Arial" w:cs="Arial" w:eastAsia="Arial" w:hAnsi="Arial"/>
          <w:sz w:val="24"/>
          <w:szCs w:val="24"/>
        </w:rPr>
        <w:t xml:space="preserve">код программы.</w:t>
      </w:r>
    </w:p>
    <w:p>
      <w:pPr>
        <w:tabs>
          <w:tab w:val="right" w:pos="10178"/>
        </w:tabs>
        <w:spacing w:after="120"/>
      </w:pPr>
      <w:r>
        <w:rPr>
          <w:rFonts w:ascii="Arial" w:cs="Arial" w:eastAsia="Arial" w:hAnsi="Arial"/>
          <w:b/>
          <w:bCs/>
          <w:sz w:val="24"/>
          <w:szCs w:val="24"/>
        </w:rPr>
        <w:t xml:space="preserve">Код ME</w:t>
      </w:r>
      <w:r>
        <w:rPr>
          <w:rFonts w:ascii="Arial" w:cs="Arial" w:eastAsia="Arial" w:hAnsi="Arial"/>
          <w:sz w:val="24"/>
          <w:szCs w:val="24"/>
        </w:rPr>
        <w:t xml:space="preserve">	</w:t>
      </w:r>
      <w:r>
        <w:rPr>
          <w:rFonts w:ascii="Arial" w:cs="Arial" w:eastAsia="Arial" w:hAnsi="Arial"/>
          <w:sz w:val="24"/>
          <w:szCs w:val="24"/>
        </w:rPr>
        <w:t xml:space="preserve">код меры.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Бюджетные программы в разрезе источников финансирования</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w:t>
      </w:r>
    </w:p>
    <w:p>
      <w:pPr>
        <w:spacing w:after="120"/>
        <w:ind w:firstLine="567"/>
        <w:jc w:val="both"/>
      </w:pPr>
      <w:r>
        <w:rPr>
          <w:rFonts w:ascii="Arial" w:cs="Arial" w:eastAsia="Arial" w:hAnsi="Arial"/>
          <w:sz w:val="24"/>
          <w:szCs w:val="24"/>
        </w:rPr>
        <w:t xml:space="preserve">год Х+1</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ind w:firstLine="567"/>
        <w:jc w:val="both"/>
      </w:pPr>
      <w:r>
        <w:rPr>
          <w:rFonts w:ascii="Arial" w:cs="Arial" w:eastAsia="Arial" w:hAnsi="Arial"/>
          <w:sz w:val="24"/>
          <w:szCs w:val="24"/>
        </w:rPr>
        <w:t xml:space="preserve">год Х+2</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ind w:firstLine="567"/>
        <w:jc w:val="both"/>
      </w:pPr>
      <w:r>
        <w:rPr>
          <w:rFonts w:ascii="Arial" w:cs="Arial" w:eastAsia="Arial" w:hAnsi="Arial"/>
          <w:sz w:val="24"/>
          <w:szCs w:val="24"/>
        </w:rPr>
        <w:t xml:space="preserve">год Х+3</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1144"/>
        <w:gridCol w:w="716"/>
        <w:gridCol w:w="716"/>
        <w:gridCol w:w="716"/>
        <w:gridCol w:w="716"/>
        <w:gridCol w:w="833"/>
        <w:gridCol w:w="833"/>
        <w:gridCol w:w="833"/>
        <w:gridCol w:w="716"/>
        <w:gridCol w:w="716"/>
        <w:gridCol w:w="716"/>
        <w:gridCol w:w="716"/>
        <w:gridCol w:w="488"/>
      </w:tblGrid>
      <w:tr>
        <w:tc>
          <w:tcPr>
            <w:tcW w:type="dxa" w:w="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11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программы</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4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28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4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6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7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1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Названия бюджетных программ</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4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(контрольные цифры)</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Описание бюджетной 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3"/>
        <w:gridCol w:w="1655"/>
        <w:gridCol w:w="1655"/>
        <w:gridCol w:w="1655"/>
        <w:gridCol w:w="1655"/>
        <w:gridCol w:w="1655"/>
      </w:tblGrid>
      <w:tr>
        <w:tc>
          <w:tcPr>
            <w:tcW w:type="dxa" w:w="19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организация</w:t>
            </w:r>
          </w:p>
        </w:tc>
        <w:tc>
          <w:tcPr>
            <w:tcW w:type="dxa" w:w="827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главного распорядителя</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Программа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 название бюджетной программы, к которой относится мера</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Бюджетная мера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 название бюджетной меры</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Ответственные подразделения</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подразделения и/или подведомственные главного распорядителя, получающие финансирование в рамках реализации данной бюджетной меры</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Статус</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существующая мера</w:t>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новая мера</w:t>
            </w:r>
          </w:p>
        </w:tc>
        <w:tc>
          <w:tcPr>
            <w:tcW w:type="dxa" w:w="165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отметить галочкой в прямоугольнике слева от статуса</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меры</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в 2-3 предложениях содержание меры (услуги и мероприятия, проекты, планируемые в рамках данной меры на среднесрочный период. Если это новая бюджетная мера, должно быть приведено обоснование ее целесообразности.</w:t>
            </w:r>
          </w:p>
        </w:tc>
      </w:tr>
      <w:tr>
        <w:tc>
          <w:tcPr>
            <w:tcW w:type="dxa" w:w="1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с приоритетами Правительства</w:t>
            </w:r>
          </w:p>
        </w:tc>
        <w:tc>
          <w:tcPr>
            <w:tcW w:type="dxa" w:w="827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инициативы:</w:t>
            </w:r>
          </w:p>
          <w:p>
            <w:pPr>
              <w:jc w:val="left"/>
            </w:pPr>
            <w:r>
              <w:rPr>
                <w:rFonts w:ascii="Arial" w:cs="Arial" w:eastAsia="Arial" w:hAnsi="Arial"/>
                <w:sz w:val="24"/>
                <w:szCs w:val="24"/>
              </w:rPr>
              <w:t xml:space="preserve">Вставить названия государственных программ и стратегий развития сектора, с выполнением которых согласуется данная бюджетная мера</w:t>
            </w:r>
          </w:p>
        </w:tc>
      </w:tr>
    </w:tbl>
    <w:p>
      <w:pPr>
        <w:spacing w:after="60" w:before="120"/>
        <w:ind w:firstLine="567"/>
        <w:jc w:val="both"/>
      </w:pPr>
      <w:r>
        <w:rPr>
          <w:rFonts w:ascii="Arial" w:cs="Arial" w:eastAsia="Arial" w:hAnsi="Arial"/>
          <w:sz w:val="24"/>
          <w:szCs w:val="24"/>
        </w:rPr>
        <w:t xml:space="preserve">Бюджетная мера в разрезе источников финансирования</w:t>
      </w:r>
    </w:p>
    <w:p>
      <w:pPr>
        <w:spacing w:after="120" w:before="120"/>
        <w:ind w:firstLine="567"/>
        <w:jc w:val="both"/>
      </w:pPr>
      <w:r>
        <w:rPr>
          <w:rFonts w:ascii="Arial" w:cs="Arial" w:eastAsia="Arial" w:hAnsi="Arial"/>
          <w:sz w:val="24"/>
          <w:szCs w:val="24"/>
        </w:rPr>
        <w:t xml:space="preserve">Код и название бюджетной меры</w:t>
      </w:r>
    </w:p>
    <w:p>
      <w:pPr>
        <w:spacing w:after="60"/>
        <w:ind w:firstLine="567"/>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807"/>
        <w:gridCol w:w="807"/>
        <w:gridCol w:w="807"/>
        <w:gridCol w:w="807"/>
        <w:gridCol w:w="939"/>
        <w:gridCol w:w="939"/>
        <w:gridCol w:w="939"/>
        <w:gridCol w:w="807"/>
        <w:gridCol w:w="807"/>
        <w:gridCol w:w="807"/>
        <w:gridCol w:w="807"/>
        <w:gridCol w:w="550"/>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32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средства</w:t>
            </w:r>
          </w:p>
        </w:tc>
        <w:tc>
          <w:tcPr>
            <w:tcW w:type="dxa" w:w="281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инвестиции</w:t>
            </w:r>
          </w:p>
        </w:tc>
        <w:tc>
          <w:tcPr>
            <w:tcW w:type="dxa" w:w="322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аккумулируемые на специальных счетах</w:t>
            </w:r>
          </w:p>
        </w:tc>
        <w:tc>
          <w:tcPr>
            <w:tcW w:type="dxa" w:w="5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8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4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93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8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4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none" w:color="auto" w:sz="0"/>
              <w:left w:val="none" w:color="auto" w:sz="0"/>
              <w:bottom w:val="single" w:color="CBBF9E" w:sz="4"/>
              <w:right w:val="single" w:color="CBBF9E" w:sz="4"/>
            </w:tcBorders>
          </w:tcP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(внешнее фин-е)</w:t>
            </w:r>
          </w:p>
        </w:tc>
        <w:tc>
          <w:tcPr>
            <w:tcW w:type="dxa" w:w="9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государственные инвестиции (внутр. фин-е)</w:t>
            </w:r>
          </w:p>
        </w:tc>
        <w:tc>
          <w:tcPr>
            <w:vMerge w:val="continue"/>
            <w:tcBorders>
              <w:top w:val="none" w:color="auto" w:sz="0"/>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 оплаты труда</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операции с нефинансовыми активами</w:t>
            </w: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X+1</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X+2</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год X+3</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60" w:before="120"/>
        <w:ind w:firstLine="567"/>
        <w:jc w:val="both"/>
      </w:pPr>
      <w:r>
        <w:rPr>
          <w:rFonts w:ascii="Arial" w:cs="Arial" w:eastAsia="Arial" w:hAnsi="Arial"/>
          <w:sz w:val="24"/>
          <w:szCs w:val="24"/>
        </w:rPr>
        <w:t xml:space="preserve">Индикаторы результативности по бюджетной мере</w:t>
      </w:r>
    </w:p>
    <w:p>
      <w:pPr>
        <w:spacing w:after="120" w:before="120"/>
        <w:ind w:firstLine="567"/>
        <w:jc w:val="both"/>
      </w:pPr>
      <w:r>
        <w:rPr>
          <w:rFonts w:ascii="Arial" w:cs="Arial" w:eastAsia="Arial" w:hAnsi="Arial"/>
          <w:sz w:val="24"/>
          <w:szCs w:val="24"/>
        </w:rPr>
        <w:t xml:space="preserve">Код и название бюджетной 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03"/>
        <w:gridCol w:w="1814"/>
        <w:gridCol w:w="1006"/>
        <w:gridCol w:w="1295"/>
        <w:gridCol w:w="790"/>
        <w:gridCol w:w="790"/>
        <w:gridCol w:w="790"/>
        <w:gridCol w:w="790"/>
      </w:tblGrid>
      <w:tr>
        <w:tc>
          <w:tcPr>
            <w:tcW w:type="dxa" w:w="29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 результативности</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данных</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изм-я</w:t>
            </w:r>
          </w:p>
        </w:tc>
        <w:tc>
          <w:tcPr>
            <w:tcW w:type="dxa" w:w="12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w:t>
            </w:r>
          </w:p>
          <w:p>
            <w:pPr>
              <w:jc w:val="center"/>
            </w:pPr>
            <w:r>
              <w:rPr>
                <w:rFonts w:ascii="Arial" w:cs="Arial" w:eastAsia="Arial" w:hAnsi="Arial"/>
                <w:b/>
                <w:bCs/>
                <w:sz w:val="24"/>
                <w:szCs w:val="24"/>
              </w:rPr>
              <w:t xml:space="preserve">год Х-1</w:t>
            </w:r>
          </w:p>
        </w:tc>
        <w:tc>
          <w:tcPr>
            <w:tcW w:type="dxa" w:w="31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значения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X+2</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X+3</w:t>
            </w:r>
          </w:p>
        </w:tc>
      </w:tr>
      <w:tr>
        <w:tc>
          <w:tcPr>
            <w:tcW w:type="dxa" w:w="29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Индикаторы результативности</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структурного
 подразделения, ответственного за
 реализацию бюджетной меры</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4-1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(бюджетные средства) на очередной бюджетный год</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259"/>
        <w:gridCol w:w="1164"/>
        <w:gridCol w:w="1264"/>
        <w:gridCol w:w="653"/>
        <w:gridCol w:w="607"/>
        <w:gridCol w:w="769"/>
        <w:gridCol w:w="537"/>
        <w:gridCol w:w="527"/>
        <w:gridCol w:w="421"/>
        <w:gridCol w:w="653"/>
        <w:gridCol w:w="480"/>
        <w:gridCol w:w="769"/>
        <w:gridCol w:w="660"/>
        <w:gridCol w:w="753"/>
        <w:gridCol w:w="401"/>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ME</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Штатная численность</w:t>
            </w:r>
          </w:p>
        </w:tc>
        <w:tc>
          <w:tcPr>
            <w:tcW w:type="dxa" w:w="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труда работников</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Субсидии</w:t>
            </w:r>
          </w:p>
        </w:tc>
        <w:tc>
          <w:tcPr>
            <w:tcW w:type="dxa" w:w="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Социальные пособия выплаты</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расходы</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Нефинансовые активы</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активы</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w:t>
            </w:r>
          </w:p>
        </w:tc>
        <w:tc>
          <w:tcPr>
            <w:tcW w:type="dxa" w:w="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программы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4-2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СТОИМОСТЬ
 бюджетных программ и мер в разрезе экономической классификации (средства, аккумулируемые на специальных счетах) на очередной бюджетный год</w:t>
      </w:r>
    </w:p>
    <w:p>
      <w:pPr>
        <w:spacing w:after="240"/>
        <w:jc w:val="center"/>
      </w:pPr>
      <w:r>
        <w:rPr>
          <w:rFonts w:ascii="Arial" w:cs="Arial" w:eastAsia="Arial" w:hAnsi="Arial"/>
          <w:sz w:val="24"/>
          <w:szCs w:val="24"/>
        </w:rPr>
        <w:t xml:space="preserve">Главный распорядитель (полное наименование главного распорядителя)
 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259"/>
        <w:gridCol w:w="1164"/>
        <w:gridCol w:w="1264"/>
        <w:gridCol w:w="653"/>
        <w:gridCol w:w="607"/>
        <w:gridCol w:w="769"/>
        <w:gridCol w:w="537"/>
        <w:gridCol w:w="527"/>
        <w:gridCol w:w="421"/>
        <w:gridCol w:w="653"/>
        <w:gridCol w:w="480"/>
        <w:gridCol w:w="769"/>
        <w:gridCol w:w="660"/>
        <w:gridCol w:w="753"/>
        <w:gridCol w:w="401"/>
      </w:tblGrid>
      <w:tr>
        <w:tc>
          <w:tcPr>
            <w:tcW w:type="dxa" w:w="2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ПР</w:t>
            </w:r>
          </w:p>
        </w:tc>
        <w:tc>
          <w:tcPr>
            <w:tcW w:type="dxa" w:w="2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ME</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Бюджетные программы/Бюджетные меры</w:t>
            </w:r>
          </w:p>
        </w:tc>
        <w:tc>
          <w:tcPr>
            <w:tcW w:type="dxa" w:w="1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Ответственное ведомство/подразделение</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Штатная численность</w:t>
            </w:r>
          </w:p>
        </w:tc>
        <w:tc>
          <w:tcPr>
            <w:tcW w:type="dxa" w:w="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Оплата труда работников</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Использование товаров и услуг</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Субсидии</w:t>
            </w:r>
          </w:p>
        </w:tc>
        <w:tc>
          <w:tcPr>
            <w:tcW w:type="dxa" w:w="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Гранты</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Социальные пособия выплаты</w:t>
            </w:r>
          </w:p>
        </w:tc>
        <w:tc>
          <w:tcPr>
            <w:tcW w:type="dxa" w:w="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расходы</w:t>
            </w:r>
          </w:p>
        </w:tc>
        <w:tc>
          <w:tcPr>
            <w:tcW w:type="dxa" w:w="7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Нефинансовые активы</w:t>
            </w:r>
          </w:p>
        </w:tc>
        <w:tc>
          <w:tcPr>
            <w:tcW w:type="dxa" w:w="6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активы</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Обязательства</w:t>
            </w:r>
          </w:p>
        </w:tc>
        <w:tc>
          <w:tcPr>
            <w:tcW w:type="dxa" w:w="4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и администрирование</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общего руководства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финансового менеджмента и учета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человеческими ресурсами</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Правовая поддержка</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внешних связей и связей с общественностью</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деятельности и службы обеспечения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мониторинга, анализа и стратегического планирования</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программы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бюджетной меры</w:t>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Пояснительная записка</w:t>
      </w:r>
    </w:p>
    <w:p>
      <w:pPr>
        <w:spacing w:after="60"/>
        <w:ind w:firstLine="567"/>
        <w:jc w:val="both"/>
      </w:pPr>
      <w:r>
        <w:rPr>
          <w:rFonts w:ascii="Arial" w:cs="Arial" w:eastAsia="Arial" w:hAnsi="Arial"/>
          <w:sz w:val="24"/>
          <w:szCs w:val="24"/>
        </w:rPr>
        <w:t xml:space="preserve">Среднесрочная стратегия бюджетных расходов по сектору/отрасли "________________________________" на 20__-20__ гг.</w:t>
      </w:r>
    </w:p>
    <w:p>
      <w:pPr>
        <w:spacing w:after="60" w:before="200"/>
        <w:ind w:firstLine="567"/>
        <w:jc w:val="both"/>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Настоящий документ является официальной среднесрочной (охватывающей трехлетний период с 20__ г. по 20__ г.) стратегией бюджетных расходов, которая включена в Основные направления фискальной политики Кыргызской Республики на 20__-20__ гг. Основные направления фискальной политики Кыргызской Республики являются составной частью процесса подготовки бюджета на программной основе и составляются в соответствии с Бюджетным </w:t>
      </w:r>
      <w:hyperlink w:history="1" r:id="rIdohq_uwcdjvjapqj4yzec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Данная стратегия охватывает программы бюджетных расходов в рамках реализации отраслевой политики, а также предпринимаемые бюджетные меры и их финансирование в пределах запланированных для этого средств республиканского бюджета, включая внебюджетные источники финансирования.</w:t>
      </w:r>
    </w:p>
    <w:p>
      <w:pPr>
        <w:spacing w:after="60" w:before="200"/>
        <w:ind w:firstLine="567"/>
        <w:jc w:val="both"/>
      </w:pPr>
      <w:r>
        <w:rPr>
          <w:rFonts w:ascii="Arial" w:cs="Arial" w:eastAsia="Arial" w:hAnsi="Arial"/>
          <w:b/>
          <w:bCs/>
          <w:sz w:val="24"/>
          <w:szCs w:val="24"/>
        </w:rPr>
        <w:t xml:space="preserve">2. Описание сектора/отрасли</w:t>
      </w:r>
    </w:p>
    <w:p>
      <w:pPr>
        <w:spacing w:after="60"/>
        <w:ind w:firstLine="567"/>
        <w:jc w:val="both"/>
      </w:pPr>
      <w:r>
        <w:rPr>
          <w:rFonts w:ascii="Arial" w:cs="Arial" w:eastAsia="Arial" w:hAnsi="Arial"/>
          <w:sz w:val="24"/>
          <w:szCs w:val="24"/>
        </w:rPr>
        <w:t xml:space="preserve">Краткое (3-4 абзаца) описание сектора/отрасли, обслуживаемые главным распорядителем. Краткое описание роли главного распорядителя в управлении сектором/отраслью и его развитии (1 абзац).</w:t>
      </w:r>
    </w:p>
    <w:p>
      <w:pPr>
        <w:spacing w:after="60" w:before="200"/>
        <w:ind w:firstLine="567"/>
        <w:jc w:val="both"/>
      </w:pPr>
      <w:r>
        <w:rPr>
          <w:rFonts w:ascii="Arial" w:cs="Arial" w:eastAsia="Arial" w:hAnsi="Arial"/>
          <w:b/>
          <w:bCs/>
          <w:sz w:val="24"/>
          <w:szCs w:val="24"/>
        </w:rPr>
        <w:t xml:space="preserve">3. Стратегическая цель</w:t>
      </w:r>
    </w:p>
    <w:p>
      <w:pPr>
        <w:spacing w:after="60"/>
        <w:ind w:firstLine="567"/>
        <w:jc w:val="both"/>
      </w:pPr>
      <w:r>
        <w:rPr>
          <w:rFonts w:ascii="Arial" w:cs="Arial" w:eastAsia="Arial" w:hAnsi="Arial"/>
          <w:sz w:val="24"/>
          <w:szCs w:val="24"/>
        </w:rPr>
        <w:t xml:space="preserve">Приводится краткая (1 абзац) конкретная формулировка стратегической цели, с указанием выгоды от результатов деятельности главного распорядителя.</w:t>
      </w:r>
    </w:p>
    <w:p>
      <w:pPr>
        <w:spacing w:after="60" w:before="200"/>
        <w:ind w:firstLine="567"/>
        <w:jc w:val="both"/>
      </w:pPr>
      <w:r>
        <w:rPr>
          <w:rFonts w:ascii="Arial" w:cs="Arial" w:eastAsia="Arial" w:hAnsi="Arial"/>
          <w:b/>
          <w:bCs/>
          <w:sz w:val="24"/>
          <w:szCs w:val="24"/>
        </w:rPr>
        <w:t xml:space="preserve">4. Задачи</w:t>
      </w:r>
    </w:p>
    <w:p>
      <w:pPr>
        <w:spacing w:after="60"/>
        <w:ind w:firstLine="567"/>
        <w:jc w:val="both"/>
      </w:pPr>
      <w:r>
        <w:rPr>
          <w:rFonts w:ascii="Arial" w:cs="Arial" w:eastAsia="Arial" w:hAnsi="Arial"/>
          <w:sz w:val="24"/>
          <w:szCs w:val="24"/>
        </w:rPr>
        <w:t xml:space="preserve">Приводится краткий перечень основных задач сектора/отрасли или главного распорядителя, которые должны быть увязаны с бюджетными программами, изложенными в следующем разделе.</w:t>
      </w:r>
    </w:p>
    <w:p>
      <w:pPr>
        <w:spacing w:after="60" w:before="200"/>
        <w:ind w:firstLine="567"/>
        <w:jc w:val="both"/>
      </w:pPr>
      <w:r>
        <w:rPr>
          <w:rFonts w:ascii="Arial" w:cs="Arial" w:eastAsia="Arial" w:hAnsi="Arial"/>
          <w:b/>
          <w:bCs/>
          <w:sz w:val="24"/>
          <w:szCs w:val="24"/>
        </w:rPr>
        <w:t xml:space="preserve">5. Бюджетные программы</w:t>
      </w:r>
    </w:p>
    <w:p>
      <w:pPr>
        <w:spacing w:after="60"/>
        <w:ind w:firstLine="567"/>
        <w:jc w:val="both"/>
      </w:pPr>
      <w:r>
        <w:rPr>
          <w:rFonts w:ascii="Arial" w:cs="Arial" w:eastAsia="Arial" w:hAnsi="Arial"/>
          <w:sz w:val="24"/>
          <w:szCs w:val="24"/>
        </w:rPr>
        <w:t xml:space="preserve">Раздел начинается с упоминания действующих правительственных стратегий/программ развития, планов действий, определяющих политику сектора/отрасли, и краткого перечня бюджетных программ ССБР.</w:t>
      </w:r>
    </w:p>
    <w:p>
      <w:pPr>
        <w:spacing w:after="60"/>
        <w:ind w:firstLine="567"/>
        <w:jc w:val="both"/>
      </w:pPr>
      <w:r>
        <w:rPr>
          <w:rFonts w:ascii="Arial" w:cs="Arial" w:eastAsia="Arial" w:hAnsi="Arial"/>
          <w:sz w:val="24"/>
          <w:szCs w:val="24"/>
        </w:rPr>
        <w:t xml:space="preserve">Приводится перечень бюджетных программ, каждая из которых описывается отдельно с использованием указанных ниже подразделов:</w:t>
      </w:r>
    </w:p>
    <w:p>
      <w:pPr>
        <w:spacing w:after="60"/>
        <w:ind w:firstLine="567"/>
        <w:jc w:val="both"/>
      </w:pPr>
      <w:r>
        <w:rPr>
          <w:rFonts w:ascii="Arial" w:cs="Arial" w:eastAsia="Arial" w:hAnsi="Arial"/>
          <w:sz w:val="24"/>
          <w:szCs w:val="24"/>
        </w:rPr>
        <w:t xml:space="preserve">"Программа 00__. Название бюджетной программы".</w:t>
      </w:r>
    </w:p>
    <w:p>
      <w:pPr>
        <w:spacing w:after="60"/>
        <w:ind w:firstLine="567"/>
        <w:jc w:val="both"/>
      </w:pPr>
      <w:r>
        <w:rPr>
          <w:rFonts w:ascii="Arial" w:cs="Arial" w:eastAsia="Arial" w:hAnsi="Arial"/>
          <w:sz w:val="24"/>
          <w:szCs w:val="24"/>
        </w:rPr>
        <w:t xml:space="preserve">Название бюджетной программы должно быть содержательным, отражающим суть данного направления. Бюджетная программа нумеруется в соответствии с ее номером в программной классификации расходов.</w:t>
      </w:r>
    </w:p>
    <w:p>
      <w:pPr>
        <w:spacing w:after="60" w:before="200"/>
        <w:ind w:firstLine="567"/>
        <w:jc w:val="both"/>
      </w:pPr>
      <w:r>
        <w:rPr>
          <w:rFonts w:ascii="Arial" w:cs="Arial" w:eastAsia="Arial" w:hAnsi="Arial"/>
          <w:b/>
          <w:bCs/>
          <w:sz w:val="24"/>
          <w:szCs w:val="24"/>
        </w:rPr>
        <w:t xml:space="preserve">6. Цель бюджетной программы</w:t>
      </w:r>
    </w:p>
    <w:p>
      <w:pPr>
        <w:spacing w:after="60"/>
        <w:ind w:firstLine="567"/>
        <w:jc w:val="both"/>
      </w:pPr>
      <w:r>
        <w:rPr>
          <w:rFonts w:ascii="Arial" w:cs="Arial" w:eastAsia="Arial" w:hAnsi="Arial"/>
          <w:sz w:val="24"/>
          <w:szCs w:val="24"/>
        </w:rPr>
        <w:t xml:space="preserve">Цель бюджетной программы излагается кратко, с указанием общественной выгоды от реализации бюджетной программы для общества.</w:t>
      </w:r>
    </w:p>
    <w:p>
      <w:pPr>
        <w:spacing w:after="60" w:before="200"/>
        <w:ind w:firstLine="567"/>
        <w:jc w:val="both"/>
      </w:pPr>
      <w:r>
        <w:rPr>
          <w:rFonts w:ascii="Arial" w:cs="Arial" w:eastAsia="Arial" w:hAnsi="Arial"/>
          <w:b/>
          <w:bCs/>
          <w:sz w:val="24"/>
          <w:szCs w:val="24"/>
        </w:rPr>
        <w:t xml:space="preserve">7. Ожидаемые результаты реализации бюджетной программы в среднесрочном периоде</w:t>
      </w:r>
    </w:p>
    <w:p>
      <w:pPr>
        <w:spacing w:after="60"/>
        <w:ind w:firstLine="567"/>
        <w:jc w:val="both"/>
      </w:pPr>
      <w:r>
        <w:rPr>
          <w:rFonts w:ascii="Arial" w:cs="Arial" w:eastAsia="Arial" w:hAnsi="Arial"/>
          <w:sz w:val="24"/>
          <w:szCs w:val="24"/>
        </w:rPr>
        <w:t xml:space="preserve">Кратко описывается результат, на достижение которого направлена бюджетная программа. Ожидаемый результат должен быть измеримым и реалистичным и иметь социальную значимость.</w:t>
      </w:r>
    </w:p>
    <w:p>
      <w:pPr>
        <w:spacing w:after="60" w:before="200"/>
        <w:ind w:firstLine="567"/>
        <w:jc w:val="both"/>
      </w:pPr>
      <w:r>
        <w:rPr>
          <w:rFonts w:ascii="Arial" w:cs="Arial" w:eastAsia="Arial" w:hAnsi="Arial"/>
          <w:b/>
          <w:bCs/>
          <w:sz w:val="24"/>
          <w:szCs w:val="24"/>
        </w:rPr>
        <w:t xml:space="preserve">8. Текущая ситуация, проблематика и прогресс</w:t>
      </w:r>
    </w:p>
    <w:p>
      <w:pPr>
        <w:spacing w:after="60"/>
        <w:ind w:firstLine="567"/>
        <w:jc w:val="both"/>
      </w:pPr>
      <w:r>
        <w:rPr>
          <w:rFonts w:ascii="Arial" w:cs="Arial" w:eastAsia="Arial" w:hAnsi="Arial"/>
          <w:sz w:val="24"/>
          <w:szCs w:val="24"/>
        </w:rPr>
        <w:t xml:space="preserve">Кратко описывается текущая ситуация по данному направлению и актуальность бюджетной программы с указанием актуальных статистических данных по сектору/отрасли и кратким описанием проблем.</w:t>
      </w:r>
    </w:p>
    <w:p>
      <w:pPr>
        <w:spacing w:after="60" w:before="200"/>
        <w:ind w:firstLine="567"/>
        <w:jc w:val="both"/>
      </w:pPr>
      <w:r>
        <w:rPr>
          <w:rFonts w:ascii="Arial" w:cs="Arial" w:eastAsia="Arial" w:hAnsi="Arial"/>
          <w:b/>
          <w:bCs/>
          <w:sz w:val="24"/>
          <w:szCs w:val="24"/>
        </w:rPr>
        <w:t xml:space="preserve">9. Бюджетные меры в рамках бюджетной программы</w:t>
      </w:r>
    </w:p>
    <w:p>
      <w:pPr>
        <w:spacing w:after="60"/>
        <w:ind w:firstLine="567"/>
        <w:jc w:val="both"/>
      </w:pPr>
      <w:r>
        <w:rPr>
          <w:rFonts w:ascii="Arial" w:cs="Arial" w:eastAsia="Arial" w:hAnsi="Arial"/>
          <w:sz w:val="24"/>
          <w:szCs w:val="24"/>
        </w:rPr>
        <w:t xml:space="preserve">В подразделе перечисляются бюджетные меры, относящиеся к данной бюджетной программе. Меры должны быть взаимно связаны с целью бюджетной программы. Помимо наименования, для каждой бюджетной меры предусматривается краткое описание уже осуществляемой в ее рамках или планируемой на среднесрочный период деятельности мероприятий.</w:t>
      </w:r>
    </w:p>
    <w:p>
      <w:pPr>
        <w:spacing w:after="60"/>
        <w:ind w:firstLine="567"/>
        <w:jc w:val="both"/>
      </w:pPr>
      <w:r>
        <w:rPr>
          <w:rFonts w:ascii="Arial" w:cs="Arial" w:eastAsia="Arial" w:hAnsi="Arial"/>
          <w:sz w:val="24"/>
          <w:szCs w:val="24"/>
        </w:rPr>
        <w:t xml:space="preserve">Бюджетная мера нумеруется в соответствии с ее номером в программной классификации.</w:t>
      </w:r>
    </w:p>
    <w:p>
      <w:pPr>
        <w:spacing w:after="60" w:before="200"/>
        <w:ind w:firstLine="567"/>
        <w:jc w:val="both"/>
      </w:pPr>
      <w:r>
        <w:rPr>
          <w:rFonts w:ascii="Arial" w:cs="Arial" w:eastAsia="Arial" w:hAnsi="Arial"/>
          <w:b/>
          <w:bCs/>
          <w:sz w:val="24"/>
          <w:szCs w:val="24"/>
        </w:rPr>
        <w:t xml:space="preserve">10. Ответственные подразделения главного распорядителя и другие участники</w:t>
      </w:r>
    </w:p>
    <w:p>
      <w:pPr>
        <w:spacing w:after="60"/>
        <w:ind w:firstLine="567"/>
        <w:jc w:val="both"/>
      </w:pPr>
      <w:r>
        <w:rPr>
          <w:rFonts w:ascii="Arial" w:cs="Arial" w:eastAsia="Arial" w:hAnsi="Arial"/>
          <w:sz w:val="24"/>
          <w:szCs w:val="24"/>
        </w:rPr>
        <w:t xml:space="preserve">Указывается перечень структурных подразделений главного распорядителя и других участников, вовлеченных в реализацию бюджетной программы.</w:t>
      </w:r>
    </w:p>
    <w:p>
      <w:pPr>
        <w:spacing w:after="60" w:before="200"/>
        <w:ind w:firstLine="567"/>
        <w:jc w:val="both"/>
      </w:pPr>
      <w:r>
        <w:rPr>
          <w:rFonts w:ascii="Arial" w:cs="Arial" w:eastAsia="Arial" w:hAnsi="Arial"/>
          <w:b/>
          <w:bCs/>
          <w:sz w:val="24"/>
          <w:szCs w:val="24"/>
        </w:rPr>
        <w:t xml:space="preserve">11. Анализ финансирования</w:t>
      </w:r>
    </w:p>
    <w:p>
      <w:pPr>
        <w:spacing w:after="60"/>
        <w:ind w:firstLine="567"/>
        <w:jc w:val="both"/>
      </w:pPr>
      <w:r>
        <w:rPr>
          <w:rFonts w:ascii="Arial" w:cs="Arial" w:eastAsia="Arial" w:hAnsi="Arial"/>
          <w:sz w:val="24"/>
          <w:szCs w:val="24"/>
        </w:rPr>
        <w:t xml:space="preserve">Общее описание и краткий анализ расходов сектора/отрасли или главного распорядителя в разрезе источников финансирования и бюджетных программ.</w:t>
      </w:r>
    </w:p>
    <w:p>
      <w:pPr>
        <w:spacing w:after="60"/>
        <w:ind w:firstLine="567"/>
        <w:jc w:val="both"/>
      </w:pPr>
      <w:r>
        <w:rPr>
          <w:rFonts w:ascii="Arial" w:cs="Arial" w:eastAsia="Arial" w:hAnsi="Arial"/>
          <w:sz w:val="24"/>
          <w:szCs w:val="24"/>
        </w:rPr>
        <w:t xml:space="preserve">В данном разделе представляется таблица с информацией о фактическом и планируемом поступлении бюджетных средств из различных источников финансирования, формат которой приведен ниже.</w:t>
      </w:r>
    </w:p>
    <w:p>
      <w:pPr>
        <w:spacing w:after="120" w:before="120"/>
        <w:ind w:firstLine="567"/>
        <w:jc w:val="both"/>
      </w:pPr>
      <w:r>
        <w:rPr>
          <w:rFonts w:ascii="Arial" w:cs="Arial" w:eastAsia="Arial" w:hAnsi="Arial"/>
          <w:sz w:val="24"/>
          <w:szCs w:val="24"/>
        </w:rPr>
        <w:t xml:space="preserve">Таблица. Анализ данных по расходам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3"/>
        <w:gridCol w:w="792"/>
        <w:gridCol w:w="721"/>
        <w:gridCol w:w="977"/>
        <w:gridCol w:w="977"/>
        <w:gridCol w:w="977"/>
      </w:tblGrid>
      <w:tr>
        <w:tc>
          <w:tcPr>
            <w:tcW w:type="dxa" w:w="57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X-1
 (факт)</w:t>
            </w:r>
          </w:p>
        </w:tc>
        <w:tc>
          <w:tcPr>
            <w:tcW w:type="dxa" w:w="7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X
 (план)</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Х+1
 (прогноз)</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Х+2
 (прогноз)</w:t>
            </w:r>
          </w:p>
        </w:tc>
        <w:tc>
          <w:tcPr>
            <w:tcW w:type="dxa" w:w="9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Х+3
 (прогноз)</w:t>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операционные расходы</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зарплата и взносы в Социальный фонд</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 для осуществления операций с нефинансовыми активами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государственные инвестиции (внешнее финансирование)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 (внутреннее софинансирование)</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аккумулируемые на спецсчетах</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Внебюджетные источники</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60"/>
        <w:ind w:firstLine="567"/>
        <w:jc w:val="both"/>
      </w:pPr>
      <w:r>
        <w:rPr>
          <w:rFonts w:ascii="Arial" w:cs="Arial" w:eastAsia="Arial" w:hAnsi="Arial"/>
          <w:sz w:val="24"/>
          <w:szCs w:val="24"/>
        </w:rPr>
        <w:t xml:space="preserve">Данные таблицы оформляются в виде диаграммы, представляющей соотношение источников финансирования и расходов сектора/отрасли или главного распорядителя. Диаграмма сопровождается описанием основных тенденций и разъяснением существенных изменений в финансировании (при наличии).</w:t>
      </w:r>
    </w:p>
    <w:p>
      <w:pPr>
        <w:spacing w:after="60"/>
        <w:ind w:firstLine="567"/>
        <w:jc w:val="both"/>
      </w:pPr>
      <w:r>
        <w:rPr>
          <w:rFonts w:ascii="Arial" w:cs="Arial" w:eastAsia="Arial" w:hAnsi="Arial"/>
          <w:sz w:val="24"/>
          <w:szCs w:val="24"/>
        </w:rPr>
        <w:t xml:space="preserve">В ходе анализа внутрисекторального распределения ресурсов отражается диаграмма, представляющая соотношение расходов в разрезе бюджетных программ. К диаграмме прилагается описание, представляющее краткий анализ и разъяснение причин изменения соотношения расходов в разрезе каждой бюджетной программы.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главного распорядителя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финансового
 подразделения</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расшифровка подписи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Инструкции о порядке формирования, рассмотрения и исполнения среднесрочных стратегий бюджетных расходов</w:t>
      </w:r>
    </w:p>
    <w:p>
      <w:pPr>
        <w:spacing w:after="400" w:before="400"/>
        <w:jc w:val="center"/>
      </w:pPr>
      <w:r>
        <w:rPr>
          <w:rFonts w:ascii="Arial" w:cs="Arial" w:eastAsia="Arial" w:hAnsi="Arial"/>
          <w:b/>
          <w:bCs/>
          <w:sz w:val="32"/>
          <w:szCs w:val="32"/>
        </w:rPr>
        <w:t xml:space="preserve">ПЕРЕЧЕНЬ
 документов, прилагаемых к проекту ССБР</w:t>
      </w:r>
    </w:p>
    <w:p>
      <w:pPr>
        <w:spacing w:after="60"/>
        <w:ind w:firstLine="567"/>
        <w:jc w:val="both"/>
      </w:pPr>
      <w:r>
        <w:rPr>
          <w:rFonts w:ascii="Arial" w:cs="Arial" w:eastAsia="Arial" w:hAnsi="Arial"/>
          <w:sz w:val="24"/>
          <w:szCs w:val="24"/>
        </w:rPr>
        <w:t xml:space="preserve">Пояснительная записка к ССБР.</w:t>
      </w:r>
    </w:p>
    <w:p>
      <w:pPr>
        <w:spacing w:after="60"/>
        <w:ind w:firstLine="567"/>
        <w:jc w:val="both"/>
      </w:pPr>
      <w:r>
        <w:rPr>
          <w:rFonts w:ascii="Arial" w:cs="Arial" w:eastAsia="Arial" w:hAnsi="Arial"/>
          <w:sz w:val="24"/>
          <w:szCs w:val="24"/>
        </w:rPr>
        <w:t xml:space="preserve">Приложение 1. Сводная таблица "Структура бюджетных программ и мер".</w:t>
      </w:r>
    </w:p>
    <w:p>
      <w:pPr>
        <w:spacing w:after="60"/>
        <w:ind w:firstLine="567"/>
        <w:jc w:val="both"/>
      </w:pPr>
      <w:r>
        <w:rPr>
          <w:rFonts w:ascii="Arial" w:cs="Arial" w:eastAsia="Arial" w:hAnsi="Arial"/>
          <w:sz w:val="24"/>
          <w:szCs w:val="24"/>
        </w:rPr>
        <w:t xml:space="preserve">Приложение 2. Сводная таблица "Бюджетные программы в разрезе источников финансирования".</w:t>
      </w:r>
    </w:p>
    <w:p>
      <w:pPr>
        <w:spacing w:after="60"/>
        <w:ind w:firstLine="567"/>
        <w:jc w:val="both"/>
      </w:pPr>
      <w:r>
        <w:rPr>
          <w:rFonts w:ascii="Arial" w:cs="Arial" w:eastAsia="Arial" w:hAnsi="Arial"/>
          <w:sz w:val="24"/>
          <w:szCs w:val="24"/>
        </w:rPr>
        <w:t xml:space="preserve">Приложение 3. Форма "Описание бюджетной меры" с таблицами "Бюджетная мера в разрезе источников финансирования" и "Индикаторы результативности по бюджетной мере" по каждой бюджетной мере.</w:t>
      </w:r>
    </w:p>
    <w:p>
      <w:pPr>
        <w:spacing w:after="60"/>
        <w:ind w:firstLine="567"/>
        <w:jc w:val="both"/>
      </w:pPr>
      <w:r>
        <w:rPr>
          <w:rFonts w:ascii="Arial" w:cs="Arial" w:eastAsia="Arial" w:hAnsi="Arial"/>
          <w:sz w:val="24"/>
          <w:szCs w:val="24"/>
        </w:rPr>
        <w:t xml:space="preserve">Проект плана мероприятий по исполнению бюджетных программ и мер.</w:t>
      </w:r>
    </w:p>
    <w:p>
      <w:pPr>
        <w:spacing w:after="60"/>
        <w:ind w:firstLine="567"/>
        <w:jc w:val="both"/>
      </w:pPr>
      <w:r>
        <w:rPr>
          <w:rFonts w:ascii="Arial" w:cs="Arial" w:eastAsia="Arial" w:hAnsi="Arial"/>
          <w:sz w:val="24"/>
          <w:szCs w:val="24"/>
        </w:rPr>
        <w:t xml:space="preserve">Оценки приоритетности бюджетных программ и мер главного распорядителя:</w:t>
      </w:r>
    </w:p>
    <w:p>
      <w:pPr>
        <w:spacing w:after="60"/>
        <w:ind w:firstLine="567"/>
        <w:jc w:val="both"/>
      </w:pPr>
      <w:r>
        <w:rPr>
          <w:rFonts w:ascii="Arial" w:cs="Arial" w:eastAsia="Arial" w:hAnsi="Arial"/>
          <w:sz w:val="24"/>
          <w:szCs w:val="24"/>
        </w:rPr>
        <w:t xml:space="preserve">- ведомственная оценка;</w:t>
      </w:r>
    </w:p>
    <w:p>
      <w:pPr>
        <w:spacing w:after="60"/>
        <w:ind w:firstLine="567"/>
        <w:jc w:val="both"/>
      </w:pPr>
      <w:r>
        <w:rPr>
          <w:rFonts w:ascii="Arial" w:cs="Arial" w:eastAsia="Arial" w:hAnsi="Arial"/>
          <w:sz w:val="24"/>
          <w:szCs w:val="24"/>
        </w:rPr>
        <w:t xml:space="preserve">- обобщенная оценка общественного совета главного распорядителя, экспертного и научного сообществ.</w:t>
      </w:r>
    </w:p>
    <w:p>
      <w:pPr>
        <w:spacing w:after="60"/>
        <w:ind w:firstLine="567"/>
        <w:jc w:val="both"/>
      </w:pPr>
      <w:r>
        <w:rPr>
          <w:rFonts w:ascii="Arial" w:cs="Arial" w:eastAsia="Arial" w:hAnsi="Arial"/>
          <w:sz w:val="24"/>
          <w:szCs w:val="24"/>
        </w:rPr>
        <w:t xml:space="preserve">Протокол общественного обсуждения проекта ССБР.</w:t>
      </w:r>
    </w:p>
    <w:p>
      <w:pPr>
        <w:spacing w:after="60"/>
        <w:ind w:firstLine="567"/>
        <w:jc w:val="both"/>
      </w:pPr>
      <w:r>
        <w:rPr>
          <w:rFonts w:ascii="Arial" w:cs="Arial" w:eastAsia="Arial" w:hAnsi="Arial"/>
          <w:sz w:val="24"/>
          <w:szCs w:val="24"/>
        </w:rPr>
        <w:t xml:space="preserve">Матрица учета замечаний и предложений по итогам общественного обсуждения проекта ССБР.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j0o2jakc4ghbkzekrihj">
      <w:r>
        <w:rPr>
          <w:rFonts w:ascii="Arial" w:cs="Arial" w:eastAsia="Arial" w:hAnsi="Arial"/>
          <w:color w:val="132D3F"/>
          <w:sz w:val="16"/>
          <w:szCs w:val="16"/>
          <w:u w:val="single"/>
        </w:rPr>
        <w:t xml:space="preserve">dalil.kg/document/11525</w:t>
      </w:r>
    </w:hyperlink>
  </w:p>
  <w:p>
    <w:pPr>
      <w:spacing w:after="0" w:before="40"/>
      <w:jc w:val="center"/>
    </w:pPr>
    <w:hyperlink w:history="1" r:id="rId2hn0bb2x1awtey6u4s_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yvtwutbnivls_cauent" Type="http://schemas.openxmlformats.org/officeDocument/2006/relationships/hyperlink" Target="https://dalil.kg/document/158854" TargetMode="External"/><Relationship Id="rIdpqx0n7vehzgr4-zvnxvjj" Type="http://schemas.openxmlformats.org/officeDocument/2006/relationships/hyperlink" Target="https://dalil.kg/document/11524" TargetMode="External"/><Relationship Id="rIdgumzlz75ygdp5bax-qps-" Type="http://schemas.openxmlformats.org/officeDocument/2006/relationships/hyperlink" Target="https://dalil.kg/document/11525#p3" TargetMode="External"/><Relationship Id="rIdtpyi7d_a92hxkujbhhnnv" Type="http://schemas.openxmlformats.org/officeDocument/2006/relationships/hyperlink" Target="https://dalil.kg/document/11525#p3" TargetMode="External"/><Relationship Id="rIdnq7hvyhpxkjopsmj_p5pa" Type="http://schemas.openxmlformats.org/officeDocument/2006/relationships/hyperlink" Target="https://dalil.kg/document/11525#p5" TargetMode="External"/><Relationship Id="rIds5sdeg5u2jjcwj6mxiyd6" Type="http://schemas.openxmlformats.org/officeDocument/2006/relationships/hyperlink" Target="https://dalil.kg/document/11525#p5" TargetMode="External"/><Relationship Id="rId3ry3vxcufqd_yppajvn2m" Type="http://schemas.openxmlformats.org/officeDocument/2006/relationships/hyperlink" Target="https://dalil.kg/document/11525#p1" TargetMode="External"/><Relationship Id="rIdn6yxms9kur-mh3zw6jk9x" Type="http://schemas.openxmlformats.org/officeDocument/2006/relationships/hyperlink" Target="https://dalil.kg/document/11525#p20" TargetMode="External"/><Relationship Id="rIdukd9gu70aepo_fldm81ij" Type="http://schemas.openxmlformats.org/officeDocument/2006/relationships/hyperlink" Target="https://dalil.kg/document/11525#p21" TargetMode="External"/><Relationship Id="rId5frj9po2ifatk6gyojiws" Type="http://schemas.openxmlformats.org/officeDocument/2006/relationships/hyperlink" Target="https://dalil.kg/document/11525#p6" TargetMode="External"/><Relationship Id="rIdxefpycjqdxas53h3gncqb" Type="http://schemas.openxmlformats.org/officeDocument/2006/relationships/hyperlink" Target="https://dalil.kg/document/11525#p5" TargetMode="External"/><Relationship Id="rIdxdgtbppg60846h-xnfbbv" Type="http://schemas.openxmlformats.org/officeDocument/2006/relationships/hyperlink" Target="https://dalil.kg/document/11525#p5" TargetMode="External"/><Relationship Id="rIdlr7ootardj_qji-n0mxqh" Type="http://schemas.openxmlformats.org/officeDocument/2006/relationships/hyperlink" Target="https://dalil.kg/document/11525#p5" TargetMode="External"/><Relationship Id="rIdee93cfhqtgpo8hcsmxflh" Type="http://schemas.openxmlformats.org/officeDocument/2006/relationships/hyperlink" Target="https://dalil.kg/document/11525#p5" TargetMode="External"/><Relationship Id="rId7hiqp0fh7zmm1gjuptora" Type="http://schemas.openxmlformats.org/officeDocument/2006/relationships/hyperlink" Target="https://dalil.kg/document/11525#p5" TargetMode="External"/><Relationship Id="rIdueuom1okaf5yzhhyg69oo" Type="http://schemas.openxmlformats.org/officeDocument/2006/relationships/hyperlink" Target="https://dalil.kg/document/11525#p5" TargetMode="External"/><Relationship Id="rIdvl9psssgecrcrjaa-qvky" Type="http://schemas.openxmlformats.org/officeDocument/2006/relationships/hyperlink" Target="https://dalil.kg/document/11525#p1" TargetMode="External"/><Relationship Id="rIdmq112aahagednog0cni3x" Type="http://schemas.openxmlformats.org/officeDocument/2006/relationships/hyperlink" Target="https://dalil.kg/document/11525#p1" TargetMode="External"/><Relationship Id="rIdpjr8-m3iibdr8k0nqtyzu" Type="http://schemas.openxmlformats.org/officeDocument/2006/relationships/hyperlink" Target="https://dalil.kg/document/11525#p3" TargetMode="External"/><Relationship Id="rId7hdie5dbikbbbjd1jlnuf" Type="http://schemas.openxmlformats.org/officeDocument/2006/relationships/hyperlink" Target="https://dalil.kg/document/11525#p5" TargetMode="External"/><Relationship Id="rIdpeuvqbn5g4tlqpl9frmn4" Type="http://schemas.openxmlformats.org/officeDocument/2006/relationships/hyperlink" Target="https://dalil.kg/document/11525#p3" TargetMode="External"/><Relationship Id="rIdelu57yr79xlcgae96j7bd" Type="http://schemas.openxmlformats.org/officeDocument/2006/relationships/hyperlink" Target="https://dalil.kg/document/11525#p3" TargetMode="External"/><Relationship Id="rIditskx_mzymchzo_g8us4n" Type="http://schemas.openxmlformats.org/officeDocument/2006/relationships/hyperlink" Target="https://dalil.kg/document/11525#p3" TargetMode="External"/><Relationship Id="rIdaz1p9xlf-0nndbc8xmmzr" Type="http://schemas.openxmlformats.org/officeDocument/2006/relationships/hyperlink" Target="https://dalil.kg/document/11525#p1" TargetMode="External"/><Relationship Id="rId3r1qvgnonsxinuhqt4t8p" Type="http://schemas.openxmlformats.org/officeDocument/2006/relationships/hyperlink" Target="https://dalil.kg/document/11521#p1" TargetMode="External"/><Relationship Id="rIdma_-4two2mgyki75s1ky4" Type="http://schemas.openxmlformats.org/officeDocument/2006/relationships/hyperlink" Target="https://dalil.kg/document/11525#p2" TargetMode="External"/><Relationship Id="rIdyc8wfjmmscdxowdopembt" Type="http://schemas.openxmlformats.org/officeDocument/2006/relationships/hyperlink" Target="https://dalil.kg/document/11525#p3" TargetMode="External"/><Relationship Id="rIdrccrkxoml1_eeqmryffws" Type="http://schemas.openxmlformats.org/officeDocument/2006/relationships/hyperlink" Target="https://dalil.kg/document/11525#p1" TargetMode="External"/><Relationship Id="rIdrkt1r8zdisim351vdubns" Type="http://schemas.openxmlformats.org/officeDocument/2006/relationships/hyperlink" Target="https://dalil.kg/document/11525#p5" TargetMode="External"/><Relationship Id="rIdohq_uwcdjvjapqj4yzecw"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j0o2jakc4ghbkzekrihj" Type="http://schemas.openxmlformats.org/officeDocument/2006/relationships/hyperlink" Target="https://dalil.kg/document/11525" TargetMode="External"/><Relationship Id="rId2hn0bb2x1awtey6u4s_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2026-09-24T21:49:27.095Z</dcterms:created>
  <dcterms:modified xsi:type="dcterms:W3CDTF">2026-09-24T21:49:27.095Z</dcterms:modified>
</cp:coreProperties>
</file>

<file path=docProps/custom.xml><?xml version="1.0" encoding="utf-8"?>
<Properties xmlns="http://schemas.openxmlformats.org/officeDocument/2006/custom-properties" xmlns:vt="http://schemas.openxmlformats.org/officeDocument/2006/docPropsVTypes"/>
</file>