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2018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о внесении изменений в Соглашение о финансировании (Кредит № 5235-KG, Грант №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839-KG) и Грантовое соглашение (Грант № TF 015135), подписанного 27 ноября 2017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xkdhqwtyk5h_xg6p3p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guh51xa5c770z6q-v6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mqdzibzvt8u_f01lj0d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46jrvvlxgqja3whhy1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Письма-соглашения о внесении изменений в Соглашение о финансировании (Кредит № 5235-KG, Грант №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839-KG)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(Грант № TF 015135), подписанного 27 ноября 2017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mflfimvqen7xyj11gt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Письму-соглашению о внесении изменений в Соглашение о финансировании (Кредит № 5235-KG, Грант №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839-KG)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(Грант № TF 015135), подписанному 27 ноября 2017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ратификации Письма-соглашения о внесении изменений в Соглашение о финансировании (Кредит № 5235-KG, Грант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839-KG) и Грантовое соглашение (Грант № TF 015135), подписанного 27 ноября 2017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о внесении изменений в Соглашение о финансировании (Кредит № 5235-KG, Грант №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839-KG) и Грантовое соглашение (Грант № TF 015135), подписанное 27 ноября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развития/Международный банк реконструкции и развития (Всемирный банк) о выполнении Кыргызской Республикой внутригосударственных процедур, необходимых для вступления в силу вышеуказанного Письма-соглашения.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Правительства Кыргызской Республики к Письму-соглашению о внесении изменений в Соглашение о финансировании (Кредит № 5235-KG, Грант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839-KG) и Грантовое соглашение (Грант № TF 015135), подписанному 27 ноября 2017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мероприятий по реформированию системы здравоохранения, </w:t>
      </w:r>
      <w:r>
        <w:rPr>
          <w:rFonts w:ascii="Arial" w:cs="Arial" w:eastAsia="Arial" w:hAnsi="Arial"/>
          <w:sz w:val="24"/>
          <w:szCs w:val="24"/>
        </w:rPr>
        <w:t xml:space="preserve">Национальная программа</w:t>
      </w:r>
      <w:r>
        <w:rPr>
          <w:rFonts w:ascii="Arial" w:cs="Arial" w:eastAsia="Arial" w:hAnsi="Arial"/>
          <w:sz w:val="24"/>
          <w:szCs w:val="24"/>
        </w:rPr>
        <w:t xml:space="preserve"> реформирования здравоохранения Кыргызской Республики "Ден соолук" на 2012-2016 годы была продлена до 2018 года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программе</w:t>
      </w:r>
      <w:r>
        <w:rPr>
          <w:rFonts w:ascii="Arial" w:cs="Arial" w:eastAsia="Arial" w:hAnsi="Arial"/>
          <w:sz w:val="24"/>
          <w:szCs w:val="24"/>
        </w:rPr>
        <w:t xml:space="preserve"> реформирования здравоохранения Кыргызской Республики "Ден соолук" на 2012-2018 годы" от 24 мая 2012 года № 309" от 11 мая 2017 года № 267 (далее - Программа "Ден соолук").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Партнеры по развитию поддерживают </w:t>
      </w:r>
      <w:r>
        <w:rPr>
          <w:rFonts w:ascii="Arial" w:cs="Arial" w:eastAsia="Arial" w:hAnsi="Arial"/>
          <w:sz w:val="24"/>
          <w:szCs w:val="24"/>
        </w:rPr>
        <w:t xml:space="preserve">Программу</w:t>
      </w:r>
      <w:r>
        <w:rPr>
          <w:rFonts w:ascii="Arial" w:cs="Arial" w:eastAsia="Arial" w:hAnsi="Arial"/>
          <w:sz w:val="24"/>
          <w:szCs w:val="24"/>
        </w:rPr>
        <w:t xml:space="preserve"> "Ден соолук" через предоставление средств в поддержку бюджета (в рамках широкосекторального подхода (далее - SWAp), а также через параллельное финансирование. В настоящее время участниками SWAp2 являются Всемирный банк, Немецкий банк развития (KfW) и Посольство Швейцарии в Кыргызской Республике. Реализация Программы "Ден соолук" осуществляется под руководством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"Ден соолук" 28 января 2014 года подписан Меморандум о взаимопонимании между Кыргызской Республикой, Посольством Швейцарии в Кыргызской Республике, Немецким банком развития (KfW) и Международной ассоциацией развития (МАР).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 июня 2014 года Президентом Кыргызской Республики подписан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финансировании (Второй проект здравоохранения и социальной защиты) между Кыргызской Республикой и Международной ассоциацией развития, подписанного 16 декабря 2013 года в городе Бишкек".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июля 2014 года Президентом Кыргызской Республики подписан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(Второй проект здравоохранения и социальной защиты) между Кыргызской Республикой и Международным банком реконструкции и развития, и Международной ассоциацией развития (Грант № TF 015135), подписанного 28 мая 2014 года в городе Бишкек".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конца 2018 года планируется направить средства на дальнейшую реализацию мероприятий в рамках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"Ден соолук", улучшение инфраструктуры организаций здравоохранения, создание единой системы справочников и классификаторов в сфере регулирования обращения лекарственных средств и медицинских изделий для оптимизации электронных закупок организациями здравоохранения, разработку нормативной базы системы Единого плательщика и совершенствование механизмов и методов финансирования поставщиков медицинских услуг, расходы на проведение кампаний по укреплению здоровья и мер профилактики заболеваний. Для завершения планируемых мероприятий возникла необходимость во внесении изменений в ранее подписанное Соглашение о финансировании (Второй проект здравоохранения и социальной защиты) между Кыргызской Республикой и Международной ассоциацией развития (Кредит № 5235-KG, Грант №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839-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G), подписанное 16 декабря 2013 года в городе Бишкек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(Второй проект здравоохранения и социальной защиты) между Кыргызской Республикой и Международным банком реконструкции и развития и Международной ассоциацией развития (Грант № TF 015135), подписанное 28 мая 2014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Письмо-соглашение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Соглашение о финансировании (Кредит № 5235-KG, Грант №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839-KG)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(Грант № TF 015135) (далее Письмо-соглашение) до подписания было согласовано с министерствами, государственными комитетами и административными ведомствами Кыргызской Республики, с комитетами Жогорку Кенеша Кыргызской Республики: Комитетом по социальным вопросам, образованию, науке, культуре и здравоохранению, Комитетом по бюджету и финансам, Комитетом по международным делам, обороне и безопасности и одобрено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ноября 2017 года № 514-р.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4jd_gum2mtawhai6sj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Письмо-соглашение подлежит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негативных финансово-экономических и иных последствий и расходов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</w:t>
      </w:r>
      <w:r>
        <w:rPr>
          <w:rFonts w:ascii="Arial" w:cs="Arial" w:eastAsia="Arial" w:hAnsi="Arial"/>
          <w:sz w:val="24"/>
          <w:szCs w:val="24"/>
        </w:rPr>
        <w:t xml:space="preserve">Письмо-соглашение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hyperlink w:history="1" r:id="rId5f5u7t3fb9g4bhb3_ai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zl74k_361q2bjgqdk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dalil.kg/document/11718</w:t>
      </w:r>
    </w:hyperlink>
  </w:p>
  <w:p>
    <w:pPr>
      <w:spacing w:after="0" w:before="40"/>
      <w:jc w:val="center"/>
    </w:pPr>
    <w:hyperlink w:history="1" r:id="rIdnvjplbzzm1ynzxinnaq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kdhqwtyk5h_xg6p3pot" Type="http://schemas.openxmlformats.org/officeDocument/2006/relationships/hyperlink" Target="https://dalil.kg/document/202913" TargetMode="External"/><Relationship Id="rIdiguh51xa5c770z6q-v6ga" Type="http://schemas.openxmlformats.org/officeDocument/2006/relationships/hyperlink" Target="https://dalil.kg/document/203166" TargetMode="External"/><Relationship Id="rIdmqdzibzvt8u_f01lj0dsd" Type="http://schemas.openxmlformats.org/officeDocument/2006/relationships/hyperlink" Target="https://dalil.kg/document/205286" TargetMode="External"/><Relationship Id="rIdb46jrvvlxgqja3whhy1ti" Type="http://schemas.openxmlformats.org/officeDocument/2006/relationships/hyperlink" Target="https://dalil.kg/document/11718#p1" TargetMode="External"/><Relationship Id="rIdkmflfimvqen7xyj11gtbl" Type="http://schemas.openxmlformats.org/officeDocument/2006/relationships/hyperlink" Target="https://dalil.kg/document/11718#p2" TargetMode="External"/><Relationship Id="rIdc4jd_gum2mtawhai6sjzt" Type="http://schemas.openxmlformats.org/officeDocument/2006/relationships/hyperlink" Target="https://dalil.kg/document/205286" TargetMode="External"/><Relationship Id="rId5f5u7t3fb9g4bhb3_aid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zl74k_361q2bjgqdkoe" Type="http://schemas.openxmlformats.org/officeDocument/2006/relationships/hyperlink" Target="https://dalil.kg/document/11718" TargetMode="External"/><Relationship Id="rIdnvjplbzzm1ynzxinnaq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2026-10-07T02:46:55.013Z</dcterms:created>
  <dcterms:modified xsi:type="dcterms:W3CDTF">2026-10-07T02:46:55.013Z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