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28 марта 2018 года № 165</w:t>
      </w:r>
    </w:p>
    <w:p>
      <w:pPr>
        <w:spacing w:after="400" w:before="400"/>
        <w:jc w:val="center"/>
      </w:pPr>
      <w:r>
        <w:rPr>
          <w:rFonts w:ascii="Arial" w:cs="Arial" w:eastAsia="Arial" w:hAnsi="Arial"/>
          <w:b/>
          <w:bCs/>
          <w:sz w:val="24"/>
          <w:szCs w:val="24"/>
        </w:rPr>
        <w:t xml:space="preserve">О </w:t>
      </w:r>
      <w:r>
        <w:rPr>
          <w:rFonts w:ascii="Arial" w:cs="Arial" w:eastAsia="Arial" w:hAnsi="Arial"/>
          <w:sz w:val="28"/>
          <w:szCs w:val="28"/>
        </w:rPr>
        <w:t xml:space="preserve">внесении изменений в постановление Правительства Кыргызской Республики "О мерах по реализации требований статей 95, 101, 102, 105, 128, 135, 148, 153, 157, 158, 163, 176, 180, 213, 229, 232 Закона Кыргызской Республики "О таможенном регулировании в Кыргызской Республике" от 10 августа 2015 года № 564</w:t>
      </w:r>
    </w:p>
    <w:p>
      <w:pPr>
        <w:spacing w:after="60"/>
        <w:ind w:firstLine="567"/>
        <w:jc w:val="both"/>
      </w:pPr>
      <w:r>
        <w:rPr>
          <w:rFonts w:ascii="Arial" w:cs="Arial" w:eastAsia="Arial" w:hAnsi="Arial"/>
          <w:sz w:val="24"/>
          <w:szCs w:val="24"/>
        </w:rPr>
        <w:t xml:space="preserve">В целях таможенного оформления автотранспортных средств с повышенным радиационным фоном, ввезенных из Японии и прошедших дезактивацию,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io2sc2pq8hhysbpj-axx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hk7bih8hnym20ncdgkdi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95</w:t>
      </w:r>
      <w:r>
        <w:rPr>
          <w:rFonts w:ascii="Arial" w:cs="Arial" w:eastAsia="Arial" w:hAnsi="Arial"/>
          <w:sz w:val="24"/>
          <w:szCs w:val="24"/>
        </w:rPr>
        <w:t xml:space="preserve">, </w:t>
      </w:r>
      <w:r>
        <w:rPr>
          <w:rFonts w:ascii="Arial" w:cs="Arial" w:eastAsia="Arial" w:hAnsi="Arial"/>
          <w:sz w:val="24"/>
          <w:szCs w:val="24"/>
        </w:rPr>
        <w:t xml:space="preserve">101</w:t>
      </w:r>
      <w:r>
        <w:rPr>
          <w:rFonts w:ascii="Arial" w:cs="Arial" w:eastAsia="Arial" w:hAnsi="Arial"/>
          <w:sz w:val="24"/>
          <w:szCs w:val="24"/>
        </w:rPr>
        <w:t xml:space="preserve">, </w:t>
      </w:r>
      <w:r>
        <w:rPr>
          <w:rFonts w:ascii="Arial" w:cs="Arial" w:eastAsia="Arial" w:hAnsi="Arial"/>
          <w:sz w:val="24"/>
          <w:szCs w:val="24"/>
        </w:rPr>
        <w:t xml:space="preserve">102</w:t>
      </w:r>
      <w:r>
        <w:rPr>
          <w:rFonts w:ascii="Arial" w:cs="Arial" w:eastAsia="Arial" w:hAnsi="Arial"/>
          <w:sz w:val="24"/>
          <w:szCs w:val="24"/>
        </w:rPr>
        <w:t xml:space="preserve">, </w:t>
      </w:r>
      <w:r>
        <w:rPr>
          <w:rFonts w:ascii="Arial" w:cs="Arial" w:eastAsia="Arial" w:hAnsi="Arial"/>
          <w:sz w:val="24"/>
          <w:szCs w:val="24"/>
        </w:rPr>
        <w:t xml:space="preserve">105</w:t>
      </w:r>
      <w:r>
        <w:rPr>
          <w:rFonts w:ascii="Arial" w:cs="Arial" w:eastAsia="Arial" w:hAnsi="Arial"/>
          <w:sz w:val="24"/>
          <w:szCs w:val="24"/>
        </w:rPr>
        <w:t xml:space="preserve">, </w:t>
      </w:r>
      <w:r>
        <w:rPr>
          <w:rFonts w:ascii="Arial" w:cs="Arial" w:eastAsia="Arial" w:hAnsi="Arial"/>
          <w:sz w:val="24"/>
          <w:szCs w:val="24"/>
        </w:rPr>
        <w:t xml:space="preserve">128</w:t>
      </w:r>
      <w:r>
        <w:rPr>
          <w:rFonts w:ascii="Arial" w:cs="Arial" w:eastAsia="Arial" w:hAnsi="Arial"/>
          <w:sz w:val="24"/>
          <w:szCs w:val="24"/>
        </w:rPr>
        <w:t xml:space="preserve">, </w:t>
      </w:r>
      <w:r>
        <w:rPr>
          <w:rFonts w:ascii="Arial" w:cs="Arial" w:eastAsia="Arial" w:hAnsi="Arial"/>
          <w:sz w:val="24"/>
          <w:szCs w:val="24"/>
        </w:rPr>
        <w:t xml:space="preserve">135</w:t>
      </w:r>
      <w:r>
        <w:rPr>
          <w:rFonts w:ascii="Arial" w:cs="Arial" w:eastAsia="Arial" w:hAnsi="Arial"/>
          <w:sz w:val="24"/>
          <w:szCs w:val="24"/>
        </w:rPr>
        <w:t xml:space="preserve">, </w:t>
      </w:r>
      <w:r>
        <w:rPr>
          <w:rFonts w:ascii="Arial" w:cs="Arial" w:eastAsia="Arial" w:hAnsi="Arial"/>
          <w:sz w:val="24"/>
          <w:szCs w:val="24"/>
        </w:rPr>
        <w:t xml:space="preserve">148</w:t>
      </w:r>
      <w:r>
        <w:rPr>
          <w:rFonts w:ascii="Arial" w:cs="Arial" w:eastAsia="Arial" w:hAnsi="Arial"/>
          <w:sz w:val="24"/>
          <w:szCs w:val="24"/>
        </w:rPr>
        <w:t xml:space="preserve">, </w:t>
      </w:r>
      <w:r>
        <w:rPr>
          <w:rFonts w:ascii="Arial" w:cs="Arial" w:eastAsia="Arial" w:hAnsi="Arial"/>
          <w:sz w:val="24"/>
          <w:szCs w:val="24"/>
        </w:rPr>
        <w:t xml:space="preserve">153</w:t>
      </w:r>
      <w:r>
        <w:rPr>
          <w:rFonts w:ascii="Arial" w:cs="Arial" w:eastAsia="Arial" w:hAnsi="Arial"/>
          <w:sz w:val="24"/>
          <w:szCs w:val="24"/>
        </w:rPr>
        <w:t xml:space="preserve">, </w:t>
      </w:r>
      <w:r>
        <w:rPr>
          <w:rFonts w:ascii="Arial" w:cs="Arial" w:eastAsia="Arial" w:hAnsi="Arial"/>
          <w:sz w:val="24"/>
          <w:szCs w:val="24"/>
        </w:rPr>
        <w:t xml:space="preserve">157</w:t>
      </w:r>
      <w:r>
        <w:rPr>
          <w:rFonts w:ascii="Arial" w:cs="Arial" w:eastAsia="Arial" w:hAnsi="Arial"/>
          <w:sz w:val="24"/>
          <w:szCs w:val="24"/>
        </w:rPr>
        <w:t xml:space="preserve">, </w:t>
      </w:r>
      <w:r>
        <w:rPr>
          <w:rFonts w:ascii="Arial" w:cs="Arial" w:eastAsia="Arial" w:hAnsi="Arial"/>
          <w:sz w:val="24"/>
          <w:szCs w:val="24"/>
        </w:rPr>
        <w:t xml:space="preserve">158</w:t>
      </w:r>
      <w:r>
        <w:rPr>
          <w:rFonts w:ascii="Arial" w:cs="Arial" w:eastAsia="Arial" w:hAnsi="Arial"/>
          <w:sz w:val="24"/>
          <w:szCs w:val="24"/>
        </w:rPr>
        <w:t xml:space="preserve">, </w:t>
      </w:r>
      <w:r>
        <w:rPr>
          <w:rFonts w:ascii="Arial" w:cs="Arial" w:eastAsia="Arial" w:hAnsi="Arial"/>
          <w:sz w:val="24"/>
          <w:szCs w:val="24"/>
        </w:rPr>
        <w:t xml:space="preserve">163</w:t>
      </w:r>
      <w:r>
        <w:rPr>
          <w:rFonts w:ascii="Arial" w:cs="Arial" w:eastAsia="Arial" w:hAnsi="Arial"/>
          <w:sz w:val="24"/>
          <w:szCs w:val="24"/>
        </w:rPr>
        <w:t xml:space="preserve">, </w:t>
      </w:r>
      <w:r>
        <w:rPr>
          <w:rFonts w:ascii="Arial" w:cs="Arial" w:eastAsia="Arial" w:hAnsi="Arial"/>
          <w:sz w:val="24"/>
          <w:szCs w:val="24"/>
        </w:rPr>
        <w:t xml:space="preserve">176</w:t>
      </w:r>
      <w:r>
        <w:rPr>
          <w:rFonts w:ascii="Arial" w:cs="Arial" w:eastAsia="Arial" w:hAnsi="Arial"/>
          <w:sz w:val="24"/>
          <w:szCs w:val="24"/>
        </w:rPr>
        <w:t xml:space="preserve">, </w:t>
      </w:r>
      <w:r>
        <w:rPr>
          <w:rFonts w:ascii="Arial" w:cs="Arial" w:eastAsia="Arial" w:hAnsi="Arial"/>
          <w:sz w:val="24"/>
          <w:szCs w:val="24"/>
        </w:rPr>
        <w:t xml:space="preserve">180</w:t>
      </w:r>
      <w:r>
        <w:rPr>
          <w:rFonts w:ascii="Arial" w:cs="Arial" w:eastAsia="Arial" w:hAnsi="Arial"/>
          <w:sz w:val="24"/>
          <w:szCs w:val="24"/>
        </w:rPr>
        <w:t xml:space="preserve">, </w:t>
      </w:r>
      <w:r>
        <w:rPr>
          <w:rFonts w:ascii="Arial" w:cs="Arial" w:eastAsia="Arial" w:hAnsi="Arial"/>
          <w:sz w:val="24"/>
          <w:szCs w:val="24"/>
        </w:rPr>
        <w:t xml:space="preserve">213</w:t>
      </w:r>
      <w:r>
        <w:rPr>
          <w:rFonts w:ascii="Arial" w:cs="Arial" w:eastAsia="Arial" w:hAnsi="Arial"/>
          <w:sz w:val="24"/>
          <w:szCs w:val="24"/>
        </w:rPr>
        <w:t xml:space="preserve">, </w:t>
      </w:r>
      <w:r>
        <w:rPr>
          <w:rFonts w:ascii="Arial" w:cs="Arial" w:eastAsia="Arial" w:hAnsi="Arial"/>
          <w:sz w:val="24"/>
          <w:szCs w:val="24"/>
        </w:rPr>
        <w:t xml:space="preserve">229</w:t>
      </w:r>
      <w:r>
        <w:rPr>
          <w:rFonts w:ascii="Arial" w:cs="Arial" w:eastAsia="Arial" w:hAnsi="Arial"/>
          <w:sz w:val="24"/>
          <w:szCs w:val="24"/>
        </w:rPr>
        <w:t xml:space="preserve">, </w:t>
      </w:r>
      <w:r>
        <w:rPr>
          <w:rFonts w:ascii="Arial" w:cs="Arial" w:eastAsia="Arial" w:hAnsi="Arial"/>
          <w:sz w:val="24"/>
          <w:szCs w:val="24"/>
        </w:rPr>
        <w:t xml:space="preserve">232</w:t>
      </w:r>
      <w:r>
        <w:rPr>
          <w:rFonts w:ascii="Arial" w:cs="Arial" w:eastAsia="Arial" w:hAnsi="Arial"/>
          <w:sz w:val="24"/>
          <w:szCs w:val="24"/>
        </w:rPr>
        <w:t xml:space="preserve"> Закона Кыргызской Республики "О таможенном регулировании в Кыргызской Республике" от 10 августа 2015 года № 564 следующие изменения:</w:t>
      </w:r>
    </w:p>
    <w:p>
      <w:pPr>
        <w:spacing w:after="60"/>
        <w:ind w:firstLine="567"/>
        <w:jc w:val="both"/>
      </w:pPr>
      <w:r>
        <w:rPr>
          <w:rFonts w:ascii="Arial" w:cs="Arial" w:eastAsia="Arial" w:hAnsi="Arial"/>
          <w:sz w:val="24"/>
          <w:szCs w:val="24"/>
        </w:rPr>
        <w:t xml:space="preserve">во </w:t>
      </w:r>
      <w:hyperlink w:history="1" r:id="rIdf-eclzvpebx-ltwovv4dd">
        <w:r>
          <w:rPr>
            <w:rFonts w:ascii="Arial" w:cs="Arial" w:eastAsia="Arial" w:hAnsi="Arial"/>
            <w:color w:val="1D4ED8"/>
            <w:sz w:val="24"/>
            <w:szCs w:val="24"/>
            <w:u w:val="single"/>
          </w:rPr>
          <w:t xml:space="preserve">Временной инструкции</w:t>
        </w:r>
      </w:hyperlink>
      <w:r>
        <w:rPr>
          <w:rFonts w:ascii="Arial" w:cs="Arial" w:eastAsia="Arial" w:hAnsi="Arial"/>
          <w:sz w:val="24"/>
          <w:szCs w:val="24"/>
        </w:rPr>
        <w:t xml:space="preserve"> о перемещении транспортных средств через таможенную границу Евразийского экономического союза в Кыргызской Республике физическими лицами для личного пользования, утвержденной вышеназванным </w:t>
      </w:r>
      <w:hyperlink w:history="1" r:id="rIds3epvfhllwkdzka4daro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w:t>
      </w:r>
      <w:hyperlink w:history="1" r:id="rIdctnz5_3w-h5xvoa8kr353">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вышеуказанной Временной инструкции:</w:t>
      </w:r>
    </w:p>
    <w:p>
      <w:pPr>
        <w:spacing w:after="60"/>
        <w:ind w:firstLine="567"/>
        <w:jc w:val="both"/>
      </w:pPr>
      <w:r>
        <w:rPr>
          <w:rFonts w:ascii="Arial" w:cs="Arial" w:eastAsia="Arial" w:hAnsi="Arial"/>
          <w:sz w:val="24"/>
          <w:szCs w:val="24"/>
        </w:rPr>
        <w:t xml:space="preserve">- после цифр и букв "с 22.09.2014 г." и "с 01.09.2014 г." дополнить знаками "***";</w:t>
      </w:r>
    </w:p>
    <w:p>
      <w:pPr>
        <w:spacing w:after="60"/>
        <w:ind w:firstLine="567"/>
        <w:jc w:val="both"/>
      </w:pPr>
      <w:r>
        <w:rPr>
          <w:rFonts w:ascii="Arial" w:cs="Arial" w:eastAsia="Arial" w:hAnsi="Arial"/>
          <w:sz w:val="24"/>
          <w:szCs w:val="24"/>
        </w:rPr>
        <w:t xml:space="preserve">- пункт 1 Примечания дополнить абзацами четвертым и пятым следующего содержания:</w:t>
      </w:r>
    </w:p>
    <w:p>
      <w:pPr>
        <w:spacing w:after="60"/>
        <w:ind w:firstLine="567"/>
        <w:jc w:val="both"/>
      </w:pPr>
      <w:r>
        <w:rPr>
          <w:rFonts w:ascii="Arial" w:cs="Arial" w:eastAsia="Arial" w:hAnsi="Arial"/>
          <w:sz w:val="24"/>
          <w:szCs w:val="24"/>
        </w:rPr>
        <w:t xml:space="preserve">"***" - единые ставки таможенных пошлин и налогов, установленные данными графами, применяются в отношении автотранспортных средств с повышенным радиационным фоном, ввезенных из Японии, прошедших дезактивацию, при наличии акта повторного радиационного обследования о непревышении радиационного фона. Уплата единой ставки таможенных пошлин и налогов осуществляется по единой ставке, исчисленной согласно данной графе. При этом для целей определения единой ставки таможенных пошлин и налогов, количество лет, прошедших с момента выпуска, считать на дату ввоза таких автотранспортных средств. Документом, подтверждающим даты ввоза автотранспортных средств с повышенным радиационным фоном, считать железнодорожную накладную.</w:t>
      </w:r>
    </w:p>
    <w:p>
      <w:pPr>
        <w:spacing w:after="60"/>
        <w:ind w:firstLine="567"/>
        <w:jc w:val="both"/>
      </w:pPr>
      <w:r>
        <w:rPr>
          <w:rFonts w:ascii="Arial" w:cs="Arial" w:eastAsia="Arial" w:hAnsi="Arial"/>
          <w:sz w:val="24"/>
          <w:szCs w:val="24"/>
        </w:rPr>
        <w:t xml:space="preserve">К примеру: если в железнодорожной накладной указана дата ввоза автотранспортного средства 01.01.2013 года, при этом годом выпуска такого автотранспортного средства является 2003 год, то для целей исчисления уплаты единой ставки таможенных пошлин и налогов будет считаться, что с момента выпуска прошло 11 лет, и ставка составляет 0,4 доллара за 1 куб.см.".</w:t>
      </w:r>
    </w:p>
    <w:p>
      <w:pPr>
        <w:spacing w:after="60"/>
        <w:ind w:firstLine="567"/>
        <w:jc w:val="both"/>
      </w:pPr>
      <w:r>
        <w:rPr>
          <w:rFonts w:ascii="Arial" w:cs="Arial" w:eastAsia="Arial" w:hAnsi="Arial"/>
          <w:sz w:val="24"/>
          <w:szCs w:val="24"/>
        </w:rPr>
        <w:t xml:space="preserve">2. Государственной таможенной службе при Правительстве Кыргызской Республики:</w:t>
      </w:r>
    </w:p>
    <w:p>
      <w:pPr>
        <w:spacing w:after="60"/>
        <w:ind w:firstLine="567"/>
        <w:jc w:val="both"/>
      </w:pPr>
      <w:r>
        <w:rPr>
          <w:rFonts w:ascii="Arial" w:cs="Arial" w:eastAsia="Arial" w:hAnsi="Arial"/>
          <w:sz w:val="24"/>
          <w:szCs w:val="24"/>
        </w:rPr>
        <w:t xml:space="preserve">- в трехмесячный срок после вступления в силу настоящего постановления произвести таможенное оформление дезактивированных автотранспортных средств согласно </w:t>
      </w:r>
      <w:hyperlink w:history="1" r:id="rIdrquohzqu9cglqoupkhyxb">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опубликовать в средствах массовой информации и на официальном сайте перечень дезактивированных автотранспортных средств, прошедших таможенное оформление;</w:t>
      </w:r>
    </w:p>
    <w:p>
      <w:pPr>
        <w:spacing w:after="60"/>
        <w:ind w:firstLine="567"/>
        <w:jc w:val="both"/>
      </w:pPr>
      <w:r>
        <w:rPr>
          <w:rFonts w:ascii="Arial" w:cs="Arial" w:eastAsia="Arial" w:hAnsi="Arial"/>
          <w:sz w:val="24"/>
          <w:szCs w:val="24"/>
        </w:rPr>
        <w:t xml:space="preserve">- оказывать консультативную помощь заинтересованным лицам в предоставлении информации из перечня дезактивированных автотранспортных средств, прошедших таможенное оформление;</w:t>
      </w:r>
    </w:p>
    <w:p>
      <w:pPr>
        <w:spacing w:after="60"/>
        <w:ind w:firstLine="567"/>
        <w:jc w:val="both"/>
      </w:pPr>
      <w:r>
        <w:rPr>
          <w:rFonts w:ascii="Arial" w:cs="Arial" w:eastAsia="Arial" w:hAnsi="Arial"/>
          <w:sz w:val="24"/>
          <w:szCs w:val="24"/>
        </w:rPr>
        <w:t xml:space="preserve">- проработать вопрос о возмещении владельцами дезактивированных автотранспортных средств расходов, связанных с дезактивацией и перевозкой дезактивированных автотранспортных средств.</w:t>
      </w:r>
    </w:p>
    <w:p>
      <w:pPr>
        <w:spacing w:after="60"/>
        <w:ind w:firstLine="567"/>
        <w:jc w:val="both"/>
      </w:pPr>
      <w:r>
        <w:rPr>
          <w:rFonts w:ascii="Arial" w:cs="Arial" w:eastAsia="Arial" w:hAnsi="Arial"/>
          <w:sz w:val="24"/>
          <w:szCs w:val="24"/>
        </w:rPr>
        <w:t xml:space="preserve">3. Установить, что настоящее постановление действует в течение шести месяцев с даты вступления в силу.</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отдел финансов и кредитной политики Аппарата Правительства Кыргызской Республики.</w:t>
      </w:r>
    </w:p>
    <w:p>
      <w:pPr>
        <w:spacing w:after="60"/>
        <w:ind w:firstLine="567"/>
        <w:jc w:val="both"/>
      </w:pPr>
      <w:r>
        <w:rPr>
          <w:rFonts w:ascii="Arial" w:cs="Arial" w:eastAsia="Arial" w:hAnsi="Arial"/>
          <w:sz w:val="24"/>
          <w:szCs w:val="24"/>
        </w:rPr>
        <w:t xml:space="preserve">5.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       С.Исаков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ПЕРЕЧЕНЬ
 дезактивированных автотранспортных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0"/>
        <w:gridCol w:w="2367"/>
        <w:gridCol w:w="1525"/>
        <w:gridCol w:w="928"/>
        <w:gridCol w:w="4808"/>
      </w:tblGrid>
      <w:tr>
        <w:tc>
          <w:tcPr>
            <w:tcW w:type="dxa" w:w="5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3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выпуска</w:t>
            </w:r>
          </w:p>
        </w:tc>
        <w:tc>
          <w:tcPr>
            <w:tcW w:type="dxa" w:w="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48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Идентификационный номер кузова (VIN-код)</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"Мазда Атенза"</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GGEP-104831</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"Мазда Атенза"</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GY3W-129644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"Мазда Демио"</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DY3W-240515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"Мазда МПВ"</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LWEW-3000936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"Мазда Премаси"</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CP8W-405142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"Мазда Требьют"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EPEW-112434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"Митсубиши Делика"</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PE8W-0700844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"Ниссан Блюберд"</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QG10-124049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"Субару Аутбэк"</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ВРЕ-003849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"Субару Аутбэк"</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r>
              <w:rPr>
                <w:rFonts w:ascii="Arial" w:cs="Arial" w:eastAsia="Arial" w:hAnsi="Arial"/>
                <w:sz w:val="24"/>
                <w:szCs w:val="24"/>
              </w:rPr>
              <w:t xml:space="preserve">BP9</w:t>
            </w:r>
            <w:r>
              <w:rPr>
                <w:rFonts w:ascii="Arial" w:cs="Arial" w:eastAsia="Arial" w:hAnsi="Arial"/>
                <w:sz w:val="24"/>
                <w:szCs w:val="24"/>
              </w:rPr>
              <w:t xml:space="preserve">-002244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"Субару Аутбэк"</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ВРЕ-018927</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"Субару Аутбэк"</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ВРЕ-025578</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"Субару Легаси"</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ВН9-069456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"Субару Легаси"</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BL5-016499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"Субару Легаси"</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ВР5-035091</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"Субару Легаси"</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BL5-044353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"Субару Легаси"</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BL5-047664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"Субару Легаси"</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BL5-047605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"Субару Форестер"</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SG5-004802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"Субару Форестер"</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SG5-011854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"Субару Форестер"</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SG5-036610</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"Субару Форестер"</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SG5-047089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"Субару Форестер"</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SG5-072709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Авенсис"</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AZT250-0015622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Альфард"</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MNH15-0001917</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Альфард"</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ANH10-0047905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Витз"</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SCP 13-0009773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Виш"</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ZNE10-0020993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Виш"</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ZNE 10-0094789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Виш"</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ZNE 10-0010904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Виш"</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ZNE10-0234897</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Виш"</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ZNE14-0034468</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Виш"</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ZNE10-0262602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Ипсум"</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ACM 21-5010455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Ипсум"</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ACM 21-5039568</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Ипсум"</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ACM21-5044996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Ипсум"</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ACM21-5068825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Ист"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NCP60-0032627</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Ист"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NCP65-0020144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Ист"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NCP60-0125870</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Ист"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NCP60-0093437</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Ист"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NCP60-0090523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Ист"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NCP61-0056082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Ист"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NCP60-0135437</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Калдина"</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ZZT241-0008335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Калдина"</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AZT246-0009678</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Камри"</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ACV30-0211825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Камри"</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ACV30-0271500</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Камри"</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ACV 30-0214596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Камри"</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ACV30-0210905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Камри"</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ACV30-3009362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Камри"</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ACV30-3029352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Кровн"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GRS180-5002091</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Кровн"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GRS182-0009996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Марк 2"</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JZX110-6039447</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Марк 2"</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GX1106084520</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Марк-Х"</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GRX120-0046761</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Марк-Х"</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GRX120-3004895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Фун карго"</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NCP25-0040240</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Хариер"</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AUC35-0010823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Хайс" 2</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TRH229-0003052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Эстима"</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ACR 40-0072173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Аирвав"</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GJ1-1011287</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Аирвав"</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GJ1-1026585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Аккорд"</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CL9-1006243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Аккорд"</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CL8-1000903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Аккорд"</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CL7-3009359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Аккорд"</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CL7-3008154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Аккорд"</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CL7-3009545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Ария"</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GD8-1102960</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Инспайр"</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UC1-1008609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Инспайр"</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UC1-1103607</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Одиссей"</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RA6-1219111</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Одиссей"</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RA6-1135033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Одиссей"</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RA6-1231391</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Одиссей"</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RB2-3002846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Одиссей"</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RA6-1305236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Одиссей"</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RA6-1320553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Одиссей"</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RA6-1314788</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Одиссей"</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RA8-1302994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Одиссей"</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RA6-1314835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Одиссей"</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RB2-3002875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Одиссей"</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RB1-3079960</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Одиссей"</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RB-1-1076101</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Одиссей"</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RB1-1121078</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Спайк" 2</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GK1-1002637</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Сивик"</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EU1-1204542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Сивик"</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ES1-1600201</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Сивик"</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EU3-1301893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СР-В"</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RD4-1250377</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RF3-1219386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RF3-1319566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RF3-1305484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RF7-1001351</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RF3-1314658</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r>
              <w:rPr>
                <w:rFonts w:ascii="Arial" w:cs="Arial" w:eastAsia="Arial" w:hAnsi="Arial"/>
                <w:sz w:val="24"/>
                <w:szCs w:val="24"/>
              </w:rPr>
              <w:t xml:space="preserve">RF</w:t>
            </w:r>
            <w:r>
              <w:rPr>
                <w:rFonts w:ascii="Arial" w:cs="Arial" w:eastAsia="Arial" w:hAnsi="Arial"/>
                <w:sz w:val="24"/>
                <w:szCs w:val="24"/>
              </w:rPr>
              <w:t xml:space="preserve">3-1410814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RF5-1011515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RF3-1405634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RF5-1007188</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RF7-1006660</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RF5-1000298</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RF7-1000313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RF7-1002524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RF3-1510071</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RF7-1051595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RF5-1054626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 6-1102969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RF5-</w:t>
            </w:r>
            <w:r>
              <w:rPr>
                <w:rFonts w:ascii="Arial" w:cs="Arial" w:eastAsia="Arial" w:hAnsi="Arial"/>
                <w:sz w:val="24"/>
                <w:szCs w:val="24"/>
              </w:rPr>
              <w:t xml:space="preserve">11</w:t>
            </w:r>
            <w:r>
              <w:rPr>
                <w:rFonts w:ascii="Arial" w:cs="Arial" w:eastAsia="Arial" w:hAnsi="Arial"/>
                <w:sz w:val="24"/>
                <w:szCs w:val="24"/>
              </w:rPr>
              <w:t xml:space="preserve">13342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Стрим"</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RN1-111987</w:t>
            </w:r>
            <w:r>
              <w:rPr>
                <w:rFonts w:ascii="Arial" w:cs="Arial" w:eastAsia="Arial" w:hAnsi="Arial"/>
                <w:sz w:val="24"/>
                <w:szCs w:val="24"/>
              </w:rPr>
              <w:t xml:space="preserve">1</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Стрим"</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RN1-1201791</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Стрим"</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RN1-1306474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Стрим"</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RN3-1210750</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Стрим"</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RN1-2010842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Стрим"</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RN7-1001579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GD3-1518615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w:t>
            </w:r>
            <w:r>
              <w:rPr>
                <w:rFonts w:ascii="Arial" w:cs="Arial" w:eastAsia="Arial" w:hAnsi="Arial"/>
                <w:sz w:val="24"/>
                <w:szCs w:val="24"/>
              </w:rPr>
              <w:t xml:space="preserve">1</w:t>
            </w:r>
            <w:r>
              <w:rPr>
                <w:rFonts w:ascii="Arial" w:cs="Arial" w:eastAsia="Arial" w:hAnsi="Arial"/>
                <w:sz w:val="24"/>
                <w:szCs w:val="24"/>
              </w:rPr>
              <w:t xml:space="preserve">-1249606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GD3-1515442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w:t>
            </w:r>
            <w:r>
              <w:rPr>
                <w:rFonts w:ascii="Arial" w:cs="Arial" w:eastAsia="Arial" w:hAnsi="Arial"/>
                <w:sz w:val="24"/>
                <w:szCs w:val="24"/>
              </w:rPr>
              <w:t xml:space="preserve">1</w:t>
            </w:r>
            <w:r>
              <w:rPr>
                <w:rFonts w:ascii="Arial" w:cs="Arial" w:eastAsia="Arial" w:hAnsi="Arial"/>
                <w:sz w:val="24"/>
                <w:szCs w:val="24"/>
              </w:rPr>
              <w:t xml:space="preserve">-1710533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w:t>
            </w:r>
            <w:r>
              <w:rPr>
                <w:rFonts w:ascii="Arial" w:cs="Arial" w:eastAsia="Arial" w:hAnsi="Arial"/>
                <w:sz w:val="24"/>
                <w:szCs w:val="24"/>
              </w:rPr>
              <w:t xml:space="preserve">1</w:t>
            </w:r>
            <w:r>
              <w:rPr>
                <w:rFonts w:ascii="Arial" w:cs="Arial" w:eastAsia="Arial" w:hAnsi="Arial"/>
                <w:sz w:val="24"/>
                <w:szCs w:val="24"/>
              </w:rPr>
              <w:t xml:space="preserve">-1702492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w:t>
            </w:r>
            <w:r>
              <w:rPr>
                <w:rFonts w:ascii="Arial" w:cs="Arial" w:eastAsia="Arial" w:hAnsi="Arial"/>
                <w:sz w:val="24"/>
                <w:szCs w:val="24"/>
              </w:rPr>
              <w:t xml:space="preserve">1</w:t>
            </w:r>
            <w:r>
              <w:rPr>
                <w:rFonts w:ascii="Arial" w:cs="Arial" w:eastAsia="Arial" w:hAnsi="Arial"/>
                <w:sz w:val="24"/>
                <w:szCs w:val="24"/>
              </w:rPr>
              <w:t xml:space="preserve">-1741348</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 3-1508115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GD3-1531952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GD2-1506032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w:t>
            </w:r>
            <w:r>
              <w:rPr>
                <w:rFonts w:ascii="Arial" w:cs="Arial" w:eastAsia="Arial" w:hAnsi="Arial"/>
                <w:sz w:val="24"/>
                <w:szCs w:val="24"/>
              </w:rPr>
              <w:t xml:space="preserve">1</w:t>
            </w:r>
            <w:r>
              <w:rPr>
                <w:rFonts w:ascii="Arial" w:cs="Arial" w:eastAsia="Arial" w:hAnsi="Arial"/>
                <w:sz w:val="24"/>
                <w:szCs w:val="24"/>
              </w:rPr>
              <w:t xml:space="preserve">-1735035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w:t>
            </w:r>
            <w:r>
              <w:rPr>
                <w:rFonts w:ascii="Arial" w:cs="Arial" w:eastAsia="Arial" w:hAnsi="Arial"/>
                <w:sz w:val="24"/>
                <w:szCs w:val="24"/>
              </w:rPr>
              <w:t xml:space="preserve">1</w:t>
            </w:r>
            <w:r>
              <w:rPr>
                <w:rFonts w:ascii="Arial" w:cs="Arial" w:eastAsia="Arial" w:hAnsi="Arial"/>
                <w:sz w:val="24"/>
                <w:szCs w:val="24"/>
              </w:rPr>
              <w:t xml:space="preserve">-1909184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GD3-1545099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w:t>
            </w:r>
            <w:r>
              <w:rPr>
                <w:rFonts w:ascii="Arial" w:cs="Arial" w:eastAsia="Arial" w:hAnsi="Arial"/>
                <w:sz w:val="24"/>
                <w:szCs w:val="24"/>
              </w:rPr>
              <w:t xml:space="preserve">1</w:t>
            </w:r>
            <w:r>
              <w:rPr>
                <w:rFonts w:ascii="Arial" w:cs="Arial" w:eastAsia="Arial" w:hAnsi="Arial"/>
                <w:sz w:val="24"/>
                <w:szCs w:val="24"/>
              </w:rPr>
              <w:t xml:space="preserve">-1540205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w:t>
            </w:r>
            <w:r>
              <w:rPr>
                <w:rFonts w:ascii="Arial" w:cs="Arial" w:eastAsia="Arial" w:hAnsi="Arial"/>
                <w:sz w:val="24"/>
                <w:szCs w:val="24"/>
              </w:rPr>
              <w:t xml:space="preserve">1</w:t>
            </w:r>
            <w:r>
              <w:rPr>
                <w:rFonts w:ascii="Arial" w:cs="Arial" w:eastAsia="Arial" w:hAnsi="Arial"/>
                <w:sz w:val="24"/>
                <w:szCs w:val="24"/>
              </w:rPr>
              <w:t xml:space="preserve">-1730956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GD2-1500223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GD3-1533678</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GD3-1500291</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GD3-1549329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GD1-1559949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GD1-1746198</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GD3-1545035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GD1-1735934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GD3-1520824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GD1-1700301</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GD1-1731559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GD1-1559495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GD1-1746759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GD1-1757912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GD3-1548120</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GD3-1503485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GD3-1554334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GD3-1551656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GD1-1546196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GD1-1726210</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GD1-1710012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GD1-1551167</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GD3-1705263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GD1-1914371</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GD1-1565405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GD1-1728440</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GD6-1100006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GD1-2115242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CD3-1803964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GD1-2004923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GD1-2100363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GD1-2028690</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GD1-2127568</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GD1-2209810</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GD1-2209254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GD1-2227150</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GD2-1811356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GD1-2245513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GD1-2171036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GD1-2254683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GD1-2303635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2007</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GD1-2378681</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HR-V"</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GH3-1200129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Эдикс"</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BE1-1000025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Эдикс"</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ВЕ4-1000358</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Элюзион"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RR2-1002548</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Элюзион"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RR1-1020442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Элюзион"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RR1-1114797</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"Шевролет Круз"</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HR52S-703259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"Фольксваген Гольф4"</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WVWZZZ1JZ-2P379993</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e757a2bqgye9v37tu7iz">
      <w:r>
        <w:rPr>
          <w:rFonts w:ascii="Arial" w:cs="Arial" w:eastAsia="Arial" w:hAnsi="Arial"/>
          <w:color w:val="132D3F"/>
          <w:sz w:val="16"/>
          <w:szCs w:val="16"/>
          <w:u w:val="single"/>
        </w:rPr>
        <w:t xml:space="preserve">dalil.kg/document/11728</w:t>
      </w:r>
    </w:hyperlink>
  </w:p>
  <w:p>
    <w:pPr>
      <w:spacing w:after="0" w:before="40"/>
      <w:jc w:val="center"/>
    </w:pPr>
    <w:hyperlink w:history="1" r:id="rIdg3txia4sloo7opvqhwec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o2sc2pq8hhysbpj-axxv" Type="http://schemas.openxmlformats.org/officeDocument/2006/relationships/hyperlink" Target="https://dalil.kg/document/203685" TargetMode="External"/><Relationship Id="rIdhk7bih8hnym20ncdgkdiw" Type="http://schemas.openxmlformats.org/officeDocument/2006/relationships/hyperlink" Target="https://dalil.kg/document/99065" TargetMode="External"/><Relationship Id="rIdf-eclzvpebx-ltwovv4dd" Type="http://schemas.openxmlformats.org/officeDocument/2006/relationships/hyperlink" Target="https://dalil.kg/document/99067" TargetMode="External"/><Relationship Id="rIds3epvfhllwkdzka4daroy" Type="http://schemas.openxmlformats.org/officeDocument/2006/relationships/hyperlink" Target="https://dalil.kg/document/99065" TargetMode="External"/><Relationship Id="rIdctnz5_3w-h5xvoa8kr353" Type="http://schemas.openxmlformats.org/officeDocument/2006/relationships/hyperlink" Target="https://dalil.kg/document/99067" TargetMode="External"/><Relationship Id="rIdrquohzqu9cglqoupkhyxb" Type="http://schemas.openxmlformats.org/officeDocument/2006/relationships/hyperlink" Target="https://dalil.kg/document/11728#p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e757a2bqgye9v37tu7iz" Type="http://schemas.openxmlformats.org/officeDocument/2006/relationships/hyperlink" Target="https://dalil.kg/document/11728" TargetMode="External"/><Relationship Id="rIdg3txia4sloo7opvqhwec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2026-09-24T23:34:22.383Z</dcterms:created>
  <dcterms:modified xsi:type="dcterms:W3CDTF">2026-09-24T23:34:22.383Z</dcterms:modified>
</cp:coreProperties>
</file>

<file path=docProps/custom.xml><?xml version="1.0" encoding="utf-8"?>
<Properties xmlns="http://schemas.openxmlformats.org/officeDocument/2006/custom-properties" xmlns:vt="http://schemas.openxmlformats.org/officeDocument/2006/docPropsVTypes"/>
</file>