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8nhahnhjqijcmflmwvihq">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марта 2018 года № 121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95xc5xm22s5imukrwlpa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0sumchjsjbzefaz3az3f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w:t>
      </w:r>
    </w:p>
    <w:p>
      <w:pPr>
        <w:spacing w:after="60"/>
        <w:ind w:firstLine="56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председателя Государственной регистрационной службы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           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часть I Гражданского кодекса Кыргызской Республики (Ведомости Жогорку Кенеша Кыргызской Республики, 1996 г., № 6, ст.80) следующие изменения:</w:t>
      </w:r>
    </w:p>
    <w:p>
      <w:pPr>
        <w:spacing w:after="60"/>
        <w:ind w:firstLine="567"/>
        <w:jc w:val="both"/>
      </w:pPr>
      <w:r>
        <w:rPr>
          <w:rFonts w:ascii="Arial" w:cs="Arial" w:eastAsia="Arial" w:hAnsi="Arial"/>
          <w:sz w:val="24"/>
          <w:szCs w:val="24"/>
        </w:rPr>
        <w:t xml:space="preserve">1) абзац первый пункта 3 статьи 328 изложить в следующей редакции:</w:t>
      </w:r>
    </w:p>
    <w:p>
      <w:pPr>
        <w:spacing w:after="60"/>
        <w:ind w:firstLine="567"/>
        <w:jc w:val="both"/>
      </w:pPr>
      <w:r>
        <w:rPr>
          <w:rFonts w:ascii="Arial" w:cs="Arial" w:eastAsia="Arial" w:hAnsi="Arial"/>
          <w:sz w:val="24"/>
          <w:szCs w:val="24"/>
        </w:rPr>
        <w:t xml:space="preserve">"3. Договор о залоге недвижимого имущества подлежит государственной регистрации и не требует обязательного нотариального удостоверения.";</w:t>
      </w:r>
    </w:p>
    <w:p>
      <w:pPr>
        <w:spacing w:after="60"/>
        <w:ind w:firstLine="567"/>
        <w:jc w:val="both"/>
      </w:pPr>
      <w:r>
        <w:rPr>
          <w:rFonts w:ascii="Arial" w:cs="Arial" w:eastAsia="Arial" w:hAnsi="Arial"/>
          <w:sz w:val="24"/>
          <w:szCs w:val="24"/>
        </w:rPr>
        <w:t xml:space="preserve">2) в абзаце третьем пункта 1 статьи 335 слова "нотариально удостоверенного" исключить.</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Закон Кыргызской Республики "О государственной регистрации прав на недвижимое имущество и сделок с ним" (Ведомости Жогорку Кенеша Кыргызской Республики, 1999 г., № 4, ст.193) следующие изменения:</w:t>
      </w:r>
    </w:p>
    <w:p>
      <w:pPr>
        <w:spacing w:after="60"/>
        <w:ind w:firstLine="567"/>
        <w:jc w:val="both"/>
      </w:pPr>
      <w:r>
        <w:rPr>
          <w:rFonts w:ascii="Arial" w:cs="Arial" w:eastAsia="Arial" w:hAnsi="Arial"/>
          <w:sz w:val="24"/>
          <w:szCs w:val="24"/>
        </w:rPr>
        <w:t xml:space="preserve">в статье 47-2:</w:t>
      </w:r>
    </w:p>
    <w:p>
      <w:pPr>
        <w:spacing w:after="60"/>
        <w:ind w:firstLine="567"/>
        <w:jc w:val="both"/>
      </w:pPr>
      <w:r>
        <w:rPr>
          <w:rFonts w:ascii="Arial" w:cs="Arial" w:eastAsia="Arial" w:hAnsi="Arial"/>
          <w:sz w:val="24"/>
          <w:szCs w:val="24"/>
        </w:rPr>
        <w:t xml:space="preserve">а) в наименовании слово "договоров" заменить словом "сделок";</w:t>
      </w:r>
    </w:p>
    <w:p>
      <w:pPr>
        <w:spacing w:after="60"/>
        <w:ind w:firstLine="567"/>
        <w:jc w:val="both"/>
      </w:pPr>
      <w:r>
        <w:rPr>
          <w:rFonts w:ascii="Arial" w:cs="Arial" w:eastAsia="Arial" w:hAnsi="Arial"/>
          <w:sz w:val="24"/>
          <w:szCs w:val="24"/>
        </w:rPr>
        <w:t xml:space="preserve">б) пункт 1 изложить в следующей редакции:</w:t>
      </w:r>
    </w:p>
    <w:p>
      <w:pPr>
        <w:spacing w:after="60"/>
        <w:ind w:firstLine="567"/>
        <w:jc w:val="both"/>
      </w:pPr>
      <w:r>
        <w:rPr>
          <w:rFonts w:ascii="Arial" w:cs="Arial" w:eastAsia="Arial" w:hAnsi="Arial"/>
          <w:sz w:val="24"/>
          <w:szCs w:val="24"/>
        </w:rPr>
        <w:t xml:space="preserve">"1. Регистрацию прав на недвижимое имущество, возникающих на основании сделок, не требующих обязательного нотариального удостоверения, осуществляет местный регистрационный орган.";</w:t>
      </w:r>
    </w:p>
    <w:p>
      <w:pPr>
        <w:spacing w:after="60"/>
        <w:ind w:firstLine="567"/>
        <w:jc w:val="both"/>
      </w:pPr>
      <w:r>
        <w:rPr>
          <w:rFonts w:ascii="Arial" w:cs="Arial" w:eastAsia="Arial" w:hAnsi="Arial"/>
          <w:sz w:val="24"/>
          <w:szCs w:val="24"/>
        </w:rPr>
        <w:t xml:space="preserve">в) пункты 4 и 5 изложить в следующей редакции:</w:t>
      </w:r>
    </w:p>
    <w:p>
      <w:pPr>
        <w:spacing w:after="60"/>
        <w:ind w:firstLine="567"/>
        <w:jc w:val="both"/>
      </w:pPr>
      <w:r>
        <w:rPr>
          <w:rFonts w:ascii="Arial" w:cs="Arial" w:eastAsia="Arial" w:hAnsi="Arial"/>
          <w:sz w:val="24"/>
          <w:szCs w:val="24"/>
        </w:rPr>
        <w:t xml:space="preserve">"4. Специалисты местного регистрационного органа, уполномоченные на действия по регистрации сделок, не требующих обязательного нотариального удостоверения, в случае совершения действий, противоречащих законодательству Кыргызской Республики, несут ответственность в установленном законом порядке.</w:t>
      </w:r>
    </w:p>
    <w:p>
      <w:pPr>
        <w:spacing w:after="60"/>
        <w:ind w:firstLine="567"/>
        <w:jc w:val="both"/>
      </w:pPr>
      <w:r>
        <w:rPr>
          <w:rFonts w:ascii="Arial" w:cs="Arial" w:eastAsia="Arial" w:hAnsi="Arial"/>
          <w:sz w:val="24"/>
          <w:szCs w:val="24"/>
        </w:rPr>
        <w:t xml:space="preserve">5. Специалисты местного регистрационного органа, уполномоченные на действия по регистрации сделок, не требующих обязательного нотариального удостоверения, обязаны оказывать физическим и юридическим лицам содействие в реализации их прав и защите законных интересов; разъяснять физическим и юридическим лицам права и обязанности; предупреждать о последствиях совершаемых действий с тем, чтобы юридическая неосведомленность не могла быть использована им во вред; хранить в тайне сведения, которые стали им известны в связи с осуществлением ими профессиональной деятельности, в том числе после сложения полномочий или увольнения, за исключением случаев, предусмотренных законом; отказать в совершении действий, возникающих на основании сделок, не требующих обязательного нотариального удостоверения, в случае их несоответствия законодательству Кыргызской Республики или вступившим в установленном законом порядке в силу международным договорам,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Специалисты местного регистрационного органа, уполномоченные на действия по регистрации сделок, не требующих обязательного нотариального удостоверения, выполняют свои обязанности в соответствии с настоящим Законом, другими нормативными правовыми актами Кыргызской Республики. Суд может освободить специалиста местного регистрационного органа, уполномоченного на совершение действий по регистрации сделок, не требующих обязательного нотариального удостоверения, от обязанностей сохранения тайны, если против специалиста возбуждено уголовное дело в связи с совершением действий, возникающих на основании сделок, не требующих обязательного нотариального удостоверения.</w:t>
      </w:r>
    </w:p>
    <w:p>
      <w:pPr>
        <w:spacing w:after="60"/>
        <w:ind w:firstLine="567"/>
        <w:jc w:val="both"/>
      </w:pPr>
      <w:r>
        <w:rPr>
          <w:rFonts w:ascii="Arial" w:cs="Arial" w:eastAsia="Arial" w:hAnsi="Arial"/>
          <w:sz w:val="24"/>
          <w:szCs w:val="24"/>
        </w:rPr>
        <w:t xml:space="preserve">Специалистом местного регистрационного органа, уполномоченным на совершение действий по регистрации сделок, не требующих обязательного нотариального удостоверения, может быть гражданин Кыргызской Республики, имеющий высшее юридическое образование, стаж работы регистратором не менее 1 года, прошедший обучающий курс в уполномоченном органе по регистрации прав на недвижимое имущество.";</w:t>
      </w:r>
    </w:p>
    <w:p>
      <w:pPr>
        <w:spacing w:after="60"/>
        <w:ind w:firstLine="567"/>
        <w:jc w:val="both"/>
      </w:pPr>
      <w:r>
        <w:rPr>
          <w:rFonts w:ascii="Arial" w:cs="Arial" w:eastAsia="Arial" w:hAnsi="Arial"/>
          <w:sz w:val="24"/>
          <w:szCs w:val="24"/>
        </w:rPr>
        <w:t xml:space="preserve">г) в пункте 12 слово "договоров" заменить словом "сделок".</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Закон Кыргызской Республики "О залоге" (Ведомости Жогорку Кенеша Кыргызской Республики, 2005 г., № 6, ст.377) следующие изменения:</w:t>
      </w:r>
    </w:p>
    <w:p>
      <w:pPr>
        <w:spacing w:after="60"/>
        <w:ind w:firstLine="567"/>
        <w:jc w:val="both"/>
      </w:pPr>
      <w:r>
        <w:rPr>
          <w:rFonts w:ascii="Arial" w:cs="Arial" w:eastAsia="Arial" w:hAnsi="Arial"/>
          <w:sz w:val="24"/>
          <w:szCs w:val="24"/>
        </w:rPr>
        <w:t xml:space="preserve">1) абзац первый пункта 2 статьи 10 признать утратившим силу;</w:t>
      </w:r>
    </w:p>
    <w:p>
      <w:pPr>
        <w:spacing w:after="60"/>
        <w:ind w:firstLine="567"/>
        <w:jc w:val="both"/>
      </w:pPr>
      <w:r>
        <w:rPr>
          <w:rFonts w:ascii="Arial" w:cs="Arial" w:eastAsia="Arial" w:hAnsi="Arial"/>
          <w:sz w:val="24"/>
          <w:szCs w:val="24"/>
        </w:rPr>
        <w:t xml:space="preserve">2) статью 60 изложить в следующей редакции:</w:t>
      </w:r>
    </w:p>
    <w:p>
      <w:pPr>
        <w:spacing w:after="60"/>
        <w:ind w:firstLine="567"/>
        <w:jc w:val="both"/>
      </w:pPr>
      <w:r>
        <w:rPr>
          <w:rFonts w:ascii="Arial" w:cs="Arial" w:eastAsia="Arial" w:hAnsi="Arial"/>
          <w:sz w:val="24"/>
          <w:szCs w:val="24"/>
        </w:rPr>
        <w:t xml:space="preserve">"Статья 60. Внесудебный порядок обращения взыскания на предмет залога</w:t>
      </w:r>
    </w:p>
    <w:p>
      <w:pPr>
        <w:spacing w:after="60"/>
        <w:ind w:firstLine="567"/>
        <w:jc w:val="both"/>
      </w:pPr>
      <w:r>
        <w:rPr>
          <w:rFonts w:ascii="Arial" w:cs="Arial" w:eastAsia="Arial" w:hAnsi="Arial"/>
          <w:sz w:val="24"/>
          <w:szCs w:val="24"/>
        </w:rPr>
        <w:t xml:space="preserve">1. Обращение взыскания на заложенное недвижимое имущество инициируется при систематическом нарушении исполнения обязательств более чем на три последовательных месяца,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sz w:val="24"/>
          <w:szCs w:val="24"/>
        </w:rPr>
        <w:t xml:space="preserve">Обращение взыскания на предмет залога во внесудебном порядке осуществляется на основании:</w:t>
      </w:r>
    </w:p>
    <w:p>
      <w:pPr>
        <w:spacing w:after="60"/>
        <w:ind w:firstLine="567"/>
        <w:jc w:val="both"/>
      </w:pPr>
      <w:r>
        <w:rPr>
          <w:rFonts w:ascii="Arial" w:cs="Arial" w:eastAsia="Arial" w:hAnsi="Arial"/>
          <w:sz w:val="24"/>
          <w:szCs w:val="24"/>
        </w:rPr>
        <w:t xml:space="preserve">1) договора о залоге либо соглашения, содержащих условия о порядке обращения взыскания на предмет залога во внесудебном порядке в отношении движимого имущества;</w:t>
      </w:r>
    </w:p>
    <w:p>
      <w:pPr>
        <w:spacing w:after="60"/>
        <w:ind w:firstLine="567"/>
        <w:jc w:val="both"/>
      </w:pPr>
      <w:r>
        <w:rPr>
          <w:rFonts w:ascii="Arial" w:cs="Arial" w:eastAsia="Arial" w:hAnsi="Arial"/>
          <w:sz w:val="24"/>
          <w:szCs w:val="24"/>
        </w:rPr>
        <w:t xml:space="preserve">соглашения между залогодержателем и залогодателем о порядке обращения взыскания на предмет залога во внесудебном порядке в отношении недвижимого имущества, заключенного одновременно с договором о залоге или иным договором, устанавливающим ипотеку в силу закона, и являющегося его неотъемлемой частью, либо заключенного в период действия договора о залоге или иного договора, устанавливающего ипотеку в силу закона;</w:t>
      </w:r>
    </w:p>
    <w:p>
      <w:pPr>
        <w:spacing w:after="60"/>
        <w:ind w:firstLine="567"/>
        <w:jc w:val="both"/>
      </w:pPr>
      <w:r>
        <w:rPr>
          <w:rFonts w:ascii="Arial" w:cs="Arial" w:eastAsia="Arial" w:hAnsi="Arial"/>
          <w:sz w:val="24"/>
          <w:szCs w:val="24"/>
        </w:rPr>
        <w:t xml:space="preserve">2) исполнительной надписи нотариуса при наличии в договоре о залоге или ином договоре, устанавливающем ипотеку в силу закона, права залогодержателя на обращение взыскания на предмет залога во внесудебном порядке.</w:t>
      </w:r>
    </w:p>
    <w:p>
      <w:pPr>
        <w:spacing w:after="60"/>
        <w:ind w:firstLine="567"/>
        <w:jc w:val="both"/>
      </w:pPr>
      <w:r>
        <w:rPr>
          <w:rFonts w:ascii="Arial" w:cs="Arial" w:eastAsia="Arial" w:hAnsi="Arial"/>
          <w:sz w:val="24"/>
          <w:szCs w:val="24"/>
        </w:rPr>
        <w:t xml:space="preserve">2. Залогодержатель вправе обратиться за совершением исполнительной надписи нотариуса после составления извещения в соответствии со статьей 58 настоящего Закона, а также после внесения записи в залоговое уведомление в соответствии со статьей 58-1 настоящего Закона при отсутствии намерения залогодателя (должника) удовлетворить требования залогодержателя.</w:t>
      </w:r>
    </w:p>
    <w:p>
      <w:pPr>
        <w:spacing w:after="60"/>
        <w:ind w:firstLine="567"/>
        <w:jc w:val="both"/>
      </w:pPr>
      <w:r>
        <w:rPr>
          <w:rFonts w:ascii="Arial" w:cs="Arial" w:eastAsia="Arial" w:hAnsi="Arial"/>
          <w:sz w:val="24"/>
          <w:szCs w:val="24"/>
        </w:rPr>
        <w:t xml:space="preserve">Исполнительная надпись нотариуса учиняется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Обращение взыскания на предмет залога по договору о залоге или соглашению об удовлетворении требований залогодержателя во внесудебном порядке осуществляется после направления извещения, предусмотренного статьей 58 настоящего Закона, а также после внесения записи в залоговое уведомление при зарегистрированном праве требования по исполнению обязательств (по договору) в отношении движимого имущества, предусмотренного статьей 58-1 настоящего Закона.</w:t>
      </w:r>
    </w:p>
    <w:p>
      <w:pPr>
        <w:spacing w:after="60"/>
        <w:ind w:firstLine="567"/>
        <w:jc w:val="both"/>
      </w:pPr>
      <w:r>
        <w:rPr>
          <w:rFonts w:ascii="Arial" w:cs="Arial" w:eastAsia="Arial" w:hAnsi="Arial"/>
          <w:sz w:val="24"/>
          <w:szCs w:val="24"/>
        </w:rPr>
        <w:t xml:space="preserve">4. Соглашение об удовлетворении требований залогодержателя по последующему договору о залоге действительно, если оно заключено с участием залогодержателей по предшествующим договорам о залоге. Соглашение об удовлетворении требований залогодержателя во внесудебном порядке может быть признано судом недействительным по иску лица, чьи права нарушены этим соглашением.</w:t>
      </w:r>
    </w:p>
    <w:p>
      <w:pPr>
        <w:spacing w:after="60"/>
        <w:ind w:firstLine="567"/>
        <w:jc w:val="both"/>
      </w:pPr>
      <w:r>
        <w:rPr>
          <w:rFonts w:ascii="Arial" w:cs="Arial" w:eastAsia="Arial" w:hAnsi="Arial"/>
          <w:sz w:val="24"/>
          <w:szCs w:val="24"/>
        </w:rPr>
        <w:t xml:space="preserve">Соглашение об удовлетворении требований залогодержателя во внесудебном порядке не должно предусматривать условий, признающих соглашение правоустанавливающим документом.</w:t>
      </w:r>
    </w:p>
    <w:p>
      <w:pPr>
        <w:spacing w:after="60"/>
        <w:ind w:firstLine="567"/>
        <w:jc w:val="both"/>
      </w:pPr>
      <w:r>
        <w:rPr>
          <w:rFonts w:ascii="Arial" w:cs="Arial" w:eastAsia="Arial" w:hAnsi="Arial"/>
          <w:sz w:val="24"/>
          <w:szCs w:val="24"/>
        </w:rPr>
        <w:t xml:space="preserve">5. В случае, если договором (соглашением), заключенным между залогодателем и залогодержателем, установлен внесудебный порядок обращения взыскания на предмет залога, ни одна из сторон не может в одностороннем порядке изменить порядок обращения взыскания или иным способом отказаться от установленного договором (соглашением) порядка обращения взыскания на предмет залога.</w:t>
      </w:r>
    </w:p>
    <w:p>
      <w:pPr>
        <w:spacing w:after="60"/>
        <w:ind w:firstLine="567"/>
        <w:jc w:val="both"/>
      </w:pPr>
      <w:r>
        <w:rPr>
          <w:rFonts w:ascii="Arial" w:cs="Arial" w:eastAsia="Arial" w:hAnsi="Arial"/>
          <w:sz w:val="24"/>
          <w:szCs w:val="24"/>
        </w:rPr>
        <w:t xml:space="preserve">При этом после возникновения основания для обращения взыскания на предмет залога стороны вправе дополнительным соглашением предусмотреть иной, отличный от первоначально определенного договором о залоге и/или соглашением, порядок внесудебного обращения взыскания на предмет залога.</w:t>
      </w:r>
    </w:p>
    <w:p>
      <w:pPr>
        <w:spacing w:after="60"/>
        <w:ind w:firstLine="567"/>
        <w:jc w:val="both"/>
      </w:pPr>
      <w:r>
        <w:rPr>
          <w:rFonts w:ascii="Arial" w:cs="Arial" w:eastAsia="Arial" w:hAnsi="Arial"/>
          <w:sz w:val="24"/>
          <w:szCs w:val="24"/>
        </w:rPr>
        <w:t xml:space="preserve">6. Если сумма денег, полученная после реализации предмета залога, превышает размер обеспеченного залогом требования залогодержателя, то разница возвращается залогодателю.</w:t>
      </w:r>
    </w:p>
    <w:p>
      <w:pPr>
        <w:spacing w:after="60"/>
        <w:ind w:firstLine="567"/>
        <w:jc w:val="both"/>
      </w:pPr>
      <w:r>
        <w:rPr>
          <w:rFonts w:ascii="Arial" w:cs="Arial" w:eastAsia="Arial" w:hAnsi="Arial"/>
          <w:sz w:val="24"/>
          <w:szCs w:val="24"/>
        </w:rPr>
        <w:t xml:space="preserve">В случае, если сумма, вырученная при реализации заложенного имущества, недостаточна для покрытия требований залогодержателя, он имеет право, при отсутствии иного указания в договоре, получить недостающую сумму из прочего имущества должника, не пользуясь преимуществом, основанным на залоге.".</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Закон Кыргызской Республики "О государственной пошлине" (Ведомости Жогорку Кенеша Кыргызской Республики, 2007 г., № 7-9, ст.722) следующее изменение:</w:t>
      </w:r>
    </w:p>
    <w:p>
      <w:pPr>
        <w:spacing w:after="60"/>
        <w:ind w:firstLine="567"/>
        <w:jc w:val="both"/>
      </w:pPr>
      <w:r>
        <w:rPr>
          <w:rFonts w:ascii="Arial" w:cs="Arial" w:eastAsia="Arial" w:hAnsi="Arial"/>
          <w:sz w:val="24"/>
          <w:szCs w:val="24"/>
        </w:rPr>
        <w:t xml:space="preserve">подпункт 8 статьи 3 изложить в следующей редакции:</w:t>
      </w:r>
    </w:p>
    <w:p>
      <w:pPr>
        <w:spacing w:after="60"/>
        <w:ind w:firstLine="567"/>
        <w:jc w:val="both"/>
      </w:pPr>
      <w:r>
        <w:rPr>
          <w:rFonts w:ascii="Arial" w:cs="Arial" w:eastAsia="Arial" w:hAnsi="Arial"/>
          <w:sz w:val="24"/>
          <w:szCs w:val="24"/>
        </w:rPr>
        <w:t xml:space="preserve">"8) за сделки, совершаемые с правами на земельную долю сельскохозяйственного назначения в соответствии с Законом Кыргызской Республики "Об управлении землями сельскохозяйственного назначения";".</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60" w:before="200"/>
        <w:ind w:firstLine="567"/>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bvupifn1hjnnhstpv1t">
      <w:r>
        <w:rPr>
          <w:rFonts w:ascii="Arial" w:cs="Arial" w:eastAsia="Arial" w:hAnsi="Arial"/>
          <w:color w:val="132D3F"/>
          <w:sz w:val="16"/>
          <w:szCs w:val="16"/>
          <w:u w:val="single"/>
        </w:rPr>
        <w:t xml:space="preserve">dalil.kg/document/11737</w:t>
      </w:r>
    </w:hyperlink>
  </w:p>
  <w:p>
    <w:pPr>
      <w:spacing w:after="0" w:before="40"/>
      <w:jc w:val="center"/>
    </w:pPr>
    <w:hyperlink w:history="1" r:id="rIdygv-kktpdqshfpdppog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nhahnhjqijcmflmwvihq" Type="http://schemas.openxmlformats.org/officeDocument/2006/relationships/hyperlink" Target="https://dalil.kg/document/230000286" TargetMode="External"/><Relationship Id="rId95xc5xm22s5imukrwlpam" Type="http://schemas.openxmlformats.org/officeDocument/2006/relationships/hyperlink" Target="https://dalil.kg/document/202913" TargetMode="External"/><Relationship Id="rId0sumchjsjbzefaz3az3fs" Type="http://schemas.openxmlformats.org/officeDocument/2006/relationships/hyperlink" Target="https://dalil.kg/document/11737#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bvupifn1hjnnhstpv1t" Type="http://schemas.openxmlformats.org/officeDocument/2006/relationships/hyperlink" Target="https://dalil.kg/document/11737" TargetMode="External"/><Relationship Id="rIdygv-kktpdqshfpdppog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2026-09-25T19:13:21.990Z</dcterms:created>
  <dcterms:modified xsi:type="dcterms:W3CDTF">2026-09-25T19:13:21.990Z</dcterms:modified>
</cp:coreProperties>
</file>

<file path=docProps/custom.xml><?xml version="1.0" encoding="utf-8"?>
<Properties xmlns="http://schemas.openxmlformats.org/officeDocument/2006/custom-properties" xmlns:vt="http://schemas.openxmlformats.org/officeDocument/2006/docPropsVTypes"/>
</file>