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tzp3yvpeqxrkagmk6_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6pn4beue2p29otczj6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u8n8qjcjpisjf5a45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5x4ngubfmd9k4mjl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Кыргызской Республики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), от 8 декабря 2005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 депозитарию которым является Швейцарский Федеральный Совет.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марта 2018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Дополнительному протоколу к Женевским конвенциям от 12 августа 1949 года, касающемуся принятия дополнительной отличительной эмблемы (Протокол III), от 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протокол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касающийся принятия дополнительной отличительной эмблемы (Протокол III), от 8 декабря 2005 года, соответствует нормам </w:t>
      </w:r>
      <w:hyperlink w:history="1" r:id="rIdjzh18ia21v5f7onuy8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положениях Женевских конвенций и </w:t>
      </w:r>
      <w:r>
        <w:rPr>
          <w:rFonts w:ascii="Arial" w:cs="Arial" w:eastAsia="Arial" w:hAnsi="Arial"/>
          <w:sz w:val="24"/>
          <w:szCs w:val="24"/>
        </w:rPr>
        <w:t xml:space="preserve">Дополнительном протоколе</w:t>
      </w:r>
      <w:r>
        <w:rPr>
          <w:rFonts w:ascii="Arial" w:cs="Arial" w:eastAsia="Arial" w:hAnsi="Arial"/>
          <w:sz w:val="24"/>
          <w:szCs w:val="24"/>
        </w:rPr>
        <w:t xml:space="preserve"> устанавливается, что красный крест и красный полумесяц являются символами, находящимися под защитой международного права. Принятие мер внутри страны для обеспечения уважения эмблем - это один из важнейших шагов по обеспечению беспристрастности при предоставлении гуманитарной помощи. В результате те, кому оказывается гуманитарная помощь, получают лучший уход и более надежную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Третьему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послужит основой для предоставления защиты новой дополнительной эмблеме - красный кристалл. Всемирное признание и уважение к эмблеме красного кристалла, каким пользуются эмблемы красного креста и красного полумесяца, позволит обеспечить более свободный доступ сотрудников гуманитарных организаций к жертвам вооруженных конфликтов и других ситуаций насилия, в том числе в случаях, когда использование эмблемы красного кристалла, которая не несет на себе какого-либо политического, религиозного или культурного оттенка, может явиться дополнительным преимуществом.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проекта Закона дополнительно необходимо будет внести соответствующие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использовании и защите эмблемы Красного Полумесяца и Красного Креста", предусматривающие ответственность за неправомерное использование эмблемы </w:t>
      </w:r>
      <w:r>
        <w:rPr>
          <w:rFonts w:ascii="Arial" w:cs="Arial" w:eastAsia="Arial" w:hAnsi="Arial"/>
          <w:sz w:val="24"/>
          <w:szCs w:val="24"/>
        </w:rPr>
        <w:t xml:space="preserve">Третьего Дополнительного протокола</w:t>
      </w:r>
      <w:r>
        <w:rPr>
          <w:rFonts w:ascii="Arial" w:cs="Arial" w:eastAsia="Arial" w:hAnsi="Arial"/>
          <w:sz w:val="24"/>
          <w:szCs w:val="24"/>
        </w:rPr>
        <w:t xml:space="preserve"> и порядок 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Дополнительного протокола Кыргызская Республика, в случае присоединения к нему, обязуются распространять возможно шире настоящий Протокол в своей стране как в мирное время, так и во время вооруженных конфликтов и, в частности, включать его изучение в программы военной подготовки и поощрять его изучение гражданским населением с тем, чтобы этот документ мог стать известным вооруженным силам и гражданскому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</w:t>
      </w:r>
      <w:r>
        <w:rPr>
          <w:rFonts w:ascii="Arial" w:cs="Arial" w:eastAsia="Arial" w:hAnsi="Arial"/>
          <w:sz w:val="24"/>
          <w:szCs w:val="24"/>
        </w:rPr>
        <w:t xml:space="preserve"> к Женевским конвенциям от 12 августа 1949 года, касающемуся принятия дополнительной отличительной эмблемы (Протокол III), от 8 декабря 2005 года не повлечет за собой отрицательных социально-экономических, правовых, правозащитных, гендерных, экологических и коррупционных последствий, не требует проведения анализа регулятивного воздействия, так как не направлен на регулирование предпринимательской деятельности и не потребует выделения дополнительных финансовых средств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pofz92ucsxp3q4btj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dalil.kg/document/11746</w:t>
      </w:r>
    </w:hyperlink>
  </w:p>
  <w:p>
    <w:pPr>
      <w:spacing w:after="0" w:before="40"/>
      <w:jc w:val="center"/>
    </w:pPr>
    <w:hyperlink w:history="1" r:id="rIddoafnnnc1jtpsbbkzqk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zp3yvpeqxrkagmk6_mc" Type="http://schemas.openxmlformats.org/officeDocument/2006/relationships/hyperlink" Target="https://dalil.kg/document/202913" TargetMode="External"/><Relationship Id="rIdn6pn4beue2p29otczj6dx" Type="http://schemas.openxmlformats.org/officeDocument/2006/relationships/hyperlink" Target="https://dalil.kg/document/205286" TargetMode="External"/><Relationship Id="rIdju8n8qjcjpisjf5a451ki" Type="http://schemas.openxmlformats.org/officeDocument/2006/relationships/hyperlink" Target="https://dalil.kg/document/11746#p1" TargetMode="External"/><Relationship Id="rIdto5x4ngubfmd9k4mjlk7u" Type="http://schemas.openxmlformats.org/officeDocument/2006/relationships/hyperlink" Target="https://dalil.kg/document/11745#p2" TargetMode="External"/><Relationship Id="rIdjzh18ia21v5f7onuy81l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pofz92ucsxp3q4btjgo" Type="http://schemas.openxmlformats.org/officeDocument/2006/relationships/hyperlink" Target="https://dalil.kg/document/11746" TargetMode="External"/><Relationship Id="rIddoafnnnc1jtpsbbkzqk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2026-10-05T08:56:22.440Z</dcterms:created>
  <dcterms:modified xsi:type="dcterms:W3CDTF">2026-10-05T08:56:22.440Z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