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ew4jfl_xbmwtqcc7tcf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19 апреля 2018 года № 213</w:t>
      </w:r>
    </w:p>
    <w:p>
      <w:pPr>
        <w:spacing w:after="240" w:before="200"/>
        <w:jc w:val="center"/>
      </w:pPr>
      <w:r>
        <w:rPr>
          <w:rFonts w:ascii="Arial" w:cs="Arial" w:eastAsia="Arial" w:hAnsi="Arial"/>
          <w:b/>
          <w:bCs/>
          <w:sz w:val="28"/>
          <w:szCs w:val="28"/>
        </w:rPr>
        <w:t xml:space="preserve">О проекте Закона Кыргызской Республики "О внесении изменений в некоторые законодательные акты Кыргызской Республики (в Закон Кыргызской Республики "О конкуренции", Кодекс Кыргызской Республики об административной ответственности)"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hyperlink w:history="1" r:id="rIdbcqh4yb7t5qz6mjbwu19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Одобрить </w:t>
      </w:r>
      <w:hyperlink w:history="1" r:id="rIdem--brv8-bkjg2pjrggix">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Закон Кыргызской Республики "</w:t>
      </w:r>
      <w:hyperlink w:history="1" r:id="rIdyonti_oiq5yut9pihbcil">
        <w:r>
          <w:rPr>
            <w:rFonts w:ascii="Arial" w:cs="Arial" w:eastAsia="Arial" w:hAnsi="Arial"/>
            <w:color w:val="1D4ED8"/>
            <w:sz w:val="24"/>
            <w:szCs w:val="24"/>
            <w:u w:val="single"/>
          </w:rPr>
          <w:t xml:space="preserve">О конкуренции</w:t>
        </w:r>
      </w:hyperlink>
      <w:r>
        <w:rPr>
          <w:rFonts w:ascii="Arial" w:cs="Arial" w:eastAsia="Arial" w:hAnsi="Arial"/>
          <w:sz w:val="24"/>
          <w:szCs w:val="24"/>
        </w:rPr>
        <w:t xml:space="preserve">", </w:t>
      </w:r>
      <w:hyperlink w:history="1" r:id="rId78clmkqghskdpyvm_hhfo">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ind w:firstLine="397"/>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ind w:firstLine="397"/>
        <w:jc w:val="both"/>
      </w:pPr>
      <w:r>
        <w:rPr>
          <w:rFonts w:ascii="Arial" w:cs="Arial" w:eastAsia="Arial" w:hAnsi="Arial"/>
          <w:sz w:val="24"/>
          <w:szCs w:val="24"/>
        </w:rPr>
        <w:t xml:space="preserve">3.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60"/>
        <w:ind w:firstLine="567"/>
        <w:jc w:val="both"/>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внесении изменений в некоторые законодательные акты Кыргызской Республики (в Закон Кыргызской Республики "О конкуренции", Кодекс Кыргызской Республики об административной ответственности)</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Закон Кыргызской Республики "О конкуренции" (Ведомости Жогорку Кенеша Кыргызской Республики, 2011 г., № 7, ст.1019) следующие изменения:</w:t>
      </w:r>
    </w:p>
    <w:p>
      <w:pPr>
        <w:spacing w:after="60"/>
        <w:ind w:firstLine="567"/>
        <w:jc w:val="both"/>
      </w:pPr>
      <w:r>
        <w:rPr>
          <w:rFonts w:ascii="Arial" w:cs="Arial" w:eastAsia="Arial" w:hAnsi="Arial"/>
          <w:sz w:val="24"/>
          <w:szCs w:val="24"/>
        </w:rPr>
        <w:t xml:space="preserve">1) статью 3 дополнить абзацем тридцать седьмым следующего содержания:</w:t>
      </w:r>
    </w:p>
    <w:p>
      <w:pPr>
        <w:spacing w:after="60"/>
        <w:ind w:firstLine="567"/>
        <w:jc w:val="both"/>
      </w:pPr>
      <w:r>
        <w:rPr>
          <w:rFonts w:ascii="Arial" w:cs="Arial" w:eastAsia="Arial" w:hAnsi="Arial"/>
          <w:sz w:val="24"/>
          <w:szCs w:val="24"/>
        </w:rPr>
        <w:t xml:space="preserve">"экономико-статистическое наблюдение - статистическое наблюдение и экономический анализ данных о деятельности хозяйствующих субъектов, оценка состояния и перспектив деятельности хозяйствующих субъектов, занимающих доминирующее положение и включенных в государственный реестр хозяйствующих субъектов, занимающих доминирующее положение на товарном рынке Кыргызской Республики.";</w:t>
      </w:r>
    </w:p>
    <w:p>
      <w:pPr>
        <w:spacing w:after="60"/>
        <w:ind w:firstLine="567"/>
        <w:jc w:val="both"/>
      </w:pPr>
      <w:r>
        <w:rPr>
          <w:rFonts w:ascii="Arial" w:cs="Arial" w:eastAsia="Arial" w:hAnsi="Arial"/>
          <w:sz w:val="24"/>
          <w:szCs w:val="24"/>
        </w:rPr>
        <w:t xml:space="preserve">2) статью 4 изложить в следующей редакции:</w:t>
      </w:r>
    </w:p>
    <w:p>
      <w:pPr>
        <w:spacing w:after="60"/>
        <w:ind w:firstLine="567"/>
        <w:jc w:val="both"/>
      </w:pPr>
      <w:r>
        <w:rPr>
          <w:rFonts w:ascii="Arial" w:cs="Arial" w:eastAsia="Arial" w:hAnsi="Arial"/>
          <w:sz w:val="24"/>
          <w:szCs w:val="24"/>
        </w:rPr>
        <w:t xml:space="preserve">"Статья 4. Доминирующее положение</w:t>
      </w:r>
    </w:p>
    <w:p>
      <w:pPr>
        <w:spacing w:after="60"/>
        <w:ind w:firstLine="567"/>
        <w:jc w:val="both"/>
      </w:pPr>
      <w:r>
        <w:rPr>
          <w:rFonts w:ascii="Arial" w:cs="Arial" w:eastAsia="Arial" w:hAnsi="Arial"/>
          <w:sz w:val="24"/>
          <w:szCs w:val="24"/>
        </w:rPr>
        <w:t xml:space="preserve">1. Доминирующим признается положение хозяйствующего субъекта (за исключением финансовой организации) на рынке:</w:t>
      </w:r>
    </w:p>
    <w:p>
      <w:pPr>
        <w:spacing w:after="60"/>
        <w:ind w:firstLine="567"/>
        <w:jc w:val="both"/>
      </w:pPr>
      <w:r>
        <w:rPr>
          <w:rFonts w:ascii="Arial" w:cs="Arial" w:eastAsia="Arial" w:hAnsi="Arial"/>
          <w:sz w:val="24"/>
          <w:szCs w:val="24"/>
        </w:rPr>
        <w:t xml:space="preserve">1) доля которого на определенном рынке составляет 35 процентов или выше, если только при рассмотрении антимонопольным органом дела о нарушении настоящего Закона или при осуществлении государственного контроля за экономической концентрацией не будет установлено, что, несмотря на превышение указанной величины, положение хозяйствующего субъекта на товарном рынке не имеет рыночной силы;</w:t>
      </w:r>
    </w:p>
    <w:p>
      <w:pPr>
        <w:spacing w:after="60"/>
        <w:ind w:firstLine="567"/>
        <w:jc w:val="both"/>
      </w:pPr>
      <w:r>
        <w:rPr>
          <w:rFonts w:ascii="Arial" w:cs="Arial" w:eastAsia="Arial" w:hAnsi="Arial"/>
          <w:sz w:val="24"/>
          <w:szCs w:val="24"/>
        </w:rPr>
        <w:t xml:space="preserve">2) доля которого на рынке определенного товара составляет менее 35 процентов, если доминирующее положение такого хозяйствующего субъекта установлено антимонопольным органом исходя из:</w:t>
      </w:r>
    </w:p>
    <w:p>
      <w:pPr>
        <w:spacing w:after="60"/>
        <w:ind w:firstLine="567"/>
        <w:jc w:val="both"/>
      </w:pPr>
      <w:r>
        <w:rPr>
          <w:rFonts w:ascii="Arial" w:cs="Arial" w:eastAsia="Arial" w:hAnsi="Arial"/>
          <w:sz w:val="24"/>
          <w:szCs w:val="24"/>
        </w:rPr>
        <w:t xml:space="preserve">- неизменной или подверженной малозначительным изменениям доли хозяйствующего субъекта на товарном рынке относительного размера долей его конкурентов на этом товарном рынке;</w:t>
      </w:r>
    </w:p>
    <w:p>
      <w:pPr>
        <w:spacing w:after="60"/>
        <w:ind w:firstLine="567"/>
        <w:jc w:val="both"/>
      </w:pPr>
      <w:r>
        <w:rPr>
          <w:rFonts w:ascii="Arial" w:cs="Arial" w:eastAsia="Arial" w:hAnsi="Arial"/>
          <w:sz w:val="24"/>
          <w:szCs w:val="24"/>
        </w:rPr>
        <w:t xml:space="preserve">- возможности доступа на этот товарный рынок новых конкурентов;</w:t>
      </w:r>
    </w:p>
    <w:p>
      <w:pPr>
        <w:spacing w:after="60"/>
        <w:ind w:firstLine="567"/>
        <w:jc w:val="both"/>
      </w:pPr>
      <w:r>
        <w:rPr>
          <w:rFonts w:ascii="Arial" w:cs="Arial" w:eastAsia="Arial" w:hAnsi="Arial"/>
          <w:sz w:val="24"/>
          <w:szCs w:val="24"/>
        </w:rPr>
        <w:t xml:space="preserve">3) по результатам проведенного анализа состояния конкуренции, доля которого на рынке определенного товара составляет менее чем 35 процентов и превышает доли других хозяйствующих субъектов на соответствующем товарном рынке, но который может оказывать решающее влияние на общие условия обращения товара на товарном рынке, если при этом в совокупности соблюдаются следующие условия:</w:t>
      </w:r>
    </w:p>
    <w:p>
      <w:pPr>
        <w:spacing w:after="60"/>
        <w:ind w:firstLine="567"/>
        <w:jc w:val="both"/>
      </w:pPr>
      <w:r>
        <w:rPr>
          <w:rFonts w:ascii="Arial" w:cs="Arial" w:eastAsia="Arial" w:hAnsi="Arial"/>
          <w:sz w:val="24"/>
          <w:szCs w:val="24"/>
        </w:rPr>
        <w:t xml:space="preserve">- хозяйствующий субъект имеет возможность в одностороннем порядке определять уровень цены товара и оказывать решающее влияние на общие условия реализации товара на соответствующем товарном рынке;</w:t>
      </w:r>
    </w:p>
    <w:p>
      <w:pPr>
        <w:spacing w:after="60"/>
        <w:ind w:firstLine="567"/>
        <w:jc w:val="both"/>
      </w:pPr>
      <w:r>
        <w:rPr>
          <w:rFonts w:ascii="Arial" w:cs="Arial" w:eastAsia="Arial" w:hAnsi="Arial"/>
          <w:sz w:val="24"/>
          <w:szCs w:val="24"/>
        </w:rPr>
        <w:t xml:space="preserve">- доступ на соответствующий товарный рынок новых конкурентов затруднен, в том числе вследствие наличия экономических, технологических, административных или иных ограничений;</w:t>
      </w:r>
    </w:p>
    <w:p>
      <w:pPr>
        <w:spacing w:after="60"/>
        <w:ind w:firstLine="567"/>
        <w:jc w:val="both"/>
      </w:pPr>
      <w:r>
        <w:rPr>
          <w:rFonts w:ascii="Arial" w:cs="Arial" w:eastAsia="Arial" w:hAnsi="Arial"/>
          <w:sz w:val="24"/>
          <w:szCs w:val="24"/>
        </w:rPr>
        <w:t xml:space="preserve">- реализуемый или приобретаемый хозяйствующим субъектом товар не может быть заменен другим товаром при потреблении (в том числе при потреблении в производственных целях);</w:t>
      </w:r>
    </w:p>
    <w:p>
      <w:pPr>
        <w:spacing w:after="60"/>
        <w:ind w:firstLine="567"/>
        <w:jc w:val="both"/>
      </w:pPr>
      <w:r>
        <w:rPr>
          <w:rFonts w:ascii="Arial" w:cs="Arial" w:eastAsia="Arial" w:hAnsi="Arial"/>
          <w:sz w:val="24"/>
          <w:szCs w:val="24"/>
        </w:rPr>
        <w:t xml:space="preserve">- изменение цены товара не обусловливает соответствующее такому изменению снижение спроса на этот товар.</w:t>
      </w:r>
    </w:p>
    <w:p>
      <w:pPr>
        <w:spacing w:after="60"/>
        <w:ind w:firstLine="567"/>
        <w:jc w:val="both"/>
      </w:pPr>
      <w:r>
        <w:rPr>
          <w:rFonts w:ascii="Arial" w:cs="Arial" w:eastAsia="Arial" w:hAnsi="Arial"/>
          <w:sz w:val="24"/>
          <w:szCs w:val="24"/>
        </w:rPr>
        <w:t xml:space="preserve">2. Доминирующим признается положение каждого хозяйствующего субъекта из нескольких хозяйствующих субъектов (за исключением финансовой организации), если в отношении такого хозяйствующего субъекта выполняются в совокупности следующие условия:</w:t>
      </w:r>
    </w:p>
    <w:p>
      <w:pPr>
        <w:spacing w:after="60"/>
        <w:ind w:firstLine="567"/>
        <w:jc w:val="both"/>
      </w:pPr>
      <w:r>
        <w:rPr>
          <w:rFonts w:ascii="Arial" w:cs="Arial" w:eastAsia="Arial" w:hAnsi="Arial"/>
          <w:sz w:val="24"/>
          <w:szCs w:val="24"/>
        </w:rPr>
        <w:t xml:space="preserve">1) совокупная доля более трех хозяйствующих субъектов превышает 50 процентов, при этом доля каждого из которых больше доли других субъектов на этом рынке или совокупная доля не более пяти хозяйствующих субъектов составляет 70 и более процентов, при этом доля каждого из которых больше долей других хозяйствующих субъектов на соответствующем рынке (настоящее положение не применяется, если доля хотя бы одного из указанных хозяйствующих субъектов менее чем 10 процентов);</w:t>
      </w:r>
    </w:p>
    <w:p>
      <w:pPr>
        <w:spacing w:after="60"/>
        <w:ind w:firstLine="567"/>
        <w:jc w:val="both"/>
      </w:pPr>
      <w:r>
        <w:rPr>
          <w:rFonts w:ascii="Arial" w:cs="Arial" w:eastAsia="Arial" w:hAnsi="Arial"/>
          <w:sz w:val="24"/>
          <w:szCs w:val="24"/>
        </w:rPr>
        <w:t xml:space="preserve">2) в течение длительного периода (в течение не менее чем одного года или, если такой срок составляет менее чем один год, в течение срока существования соответствующего рынка) относительные размеры долей хозяйствующих субъектов неизменны или подвержены малозначительным изменениям;</w:t>
      </w:r>
    </w:p>
    <w:p>
      <w:pPr>
        <w:spacing w:after="60"/>
        <w:ind w:firstLine="567"/>
        <w:jc w:val="both"/>
      </w:pPr>
      <w:r>
        <w:rPr>
          <w:rFonts w:ascii="Arial" w:cs="Arial" w:eastAsia="Arial" w:hAnsi="Arial"/>
          <w:sz w:val="24"/>
          <w:szCs w:val="24"/>
        </w:rPr>
        <w:t xml:space="preserve">3) доступ на соответствующий рынок новых конкурентов затруднен, в том числе вследствие наличия экономических, технологических, административных или иных ограничений;</w:t>
      </w:r>
    </w:p>
    <w:p>
      <w:pPr>
        <w:spacing w:after="60"/>
        <w:ind w:firstLine="567"/>
        <w:jc w:val="both"/>
      </w:pPr>
      <w:r>
        <w:rPr>
          <w:rFonts w:ascii="Arial" w:cs="Arial" w:eastAsia="Arial" w:hAnsi="Arial"/>
          <w:sz w:val="24"/>
          <w:szCs w:val="24"/>
        </w:rPr>
        <w:t xml:space="preserve">4) реализуемый или приобретаемый хозяйствующими субъектами товар не может быть заменен другим товаром при потреблении (в том числе, при потреблении в производственных целях);</w:t>
      </w:r>
    </w:p>
    <w:p>
      <w:pPr>
        <w:spacing w:after="60"/>
        <w:ind w:firstLine="567"/>
        <w:jc w:val="both"/>
      </w:pPr>
      <w:r>
        <w:rPr>
          <w:rFonts w:ascii="Arial" w:cs="Arial" w:eastAsia="Arial" w:hAnsi="Arial"/>
          <w:sz w:val="24"/>
          <w:szCs w:val="24"/>
        </w:rPr>
        <w:t xml:space="preserve">5) изменение цены товара не обусловливает соответствующее такому изменению снижение спроса на этот товар;</w:t>
      </w:r>
    </w:p>
    <w:p>
      <w:pPr>
        <w:spacing w:after="60"/>
        <w:ind w:firstLine="567"/>
        <w:jc w:val="both"/>
      </w:pPr>
      <w:r>
        <w:rPr>
          <w:rFonts w:ascii="Arial" w:cs="Arial" w:eastAsia="Arial" w:hAnsi="Arial"/>
          <w:sz w:val="24"/>
          <w:szCs w:val="24"/>
        </w:rPr>
        <w:t xml:space="preserve">6) неопределенному кругу лиц ограничен доступ к информации о цене, об условиях реализации или приобретения этого товара на соответствующем рынке.</w:t>
      </w:r>
    </w:p>
    <w:p>
      <w:pPr>
        <w:spacing w:after="60"/>
        <w:ind w:firstLine="567"/>
        <w:jc w:val="both"/>
      </w:pPr>
      <w:r>
        <w:rPr>
          <w:rFonts w:ascii="Arial" w:cs="Arial" w:eastAsia="Arial" w:hAnsi="Arial"/>
          <w:sz w:val="24"/>
          <w:szCs w:val="24"/>
        </w:rPr>
        <w:t xml:space="preserve">3. Доминирующим признается положение хозяйствующего субъекта, являющегося субъектом естественной монополии на товарном рынке, находящемся в состоянии естественной монополии.</w:t>
      </w:r>
    </w:p>
    <w:p>
      <w:pPr>
        <w:spacing w:after="60"/>
        <w:ind w:firstLine="567"/>
        <w:jc w:val="both"/>
      </w:pPr>
      <w:r>
        <w:rPr>
          <w:rFonts w:ascii="Arial" w:cs="Arial" w:eastAsia="Arial" w:hAnsi="Arial"/>
          <w:sz w:val="24"/>
          <w:szCs w:val="24"/>
        </w:rPr>
        <w:t xml:space="preserve">4. Доминирующим признается положение финансовых организаций, если:</w:t>
      </w:r>
    </w:p>
    <w:p>
      <w:pPr>
        <w:spacing w:after="60"/>
        <w:ind w:firstLine="567"/>
        <w:jc w:val="both"/>
      </w:pPr>
      <w:r>
        <w:rPr>
          <w:rFonts w:ascii="Arial" w:cs="Arial" w:eastAsia="Arial" w:hAnsi="Arial"/>
          <w:sz w:val="24"/>
          <w:szCs w:val="24"/>
        </w:rPr>
        <w:t xml:space="preserve">1) доля финансовой организации на определенном финансовом рынке составляет 35 процентов или выше;</w:t>
      </w:r>
    </w:p>
    <w:p>
      <w:pPr>
        <w:spacing w:after="60"/>
        <w:ind w:firstLine="567"/>
        <w:jc w:val="both"/>
      </w:pPr>
      <w:r>
        <w:rPr>
          <w:rFonts w:ascii="Arial" w:cs="Arial" w:eastAsia="Arial" w:hAnsi="Arial"/>
          <w:sz w:val="24"/>
          <w:szCs w:val="24"/>
        </w:rPr>
        <w:t xml:space="preserve">2) совокупная доля двух финансовых организаций, которым принадлежат наибольшие доли на соответствующем рынке финансовых услуг, составляет 50 и более процентов;</w:t>
      </w:r>
    </w:p>
    <w:p>
      <w:pPr>
        <w:spacing w:after="60"/>
        <w:ind w:firstLine="567"/>
        <w:jc w:val="both"/>
      </w:pPr>
      <w:r>
        <w:rPr>
          <w:rFonts w:ascii="Arial" w:cs="Arial" w:eastAsia="Arial" w:hAnsi="Arial"/>
          <w:sz w:val="24"/>
          <w:szCs w:val="24"/>
        </w:rPr>
        <w:t xml:space="preserve">3) совокупная доля трех финансовых организаций, которым принадлежат наибольшие доли на соответствующем рынке финансовых услуг, составляет 70 и более процентов.</w:t>
      </w:r>
    </w:p>
    <w:p>
      <w:pPr>
        <w:spacing w:after="60"/>
        <w:ind w:firstLine="567"/>
        <w:jc w:val="both"/>
      </w:pPr>
      <w:r>
        <w:rPr>
          <w:rFonts w:ascii="Arial" w:cs="Arial" w:eastAsia="Arial" w:hAnsi="Arial"/>
          <w:sz w:val="24"/>
          <w:szCs w:val="24"/>
        </w:rPr>
        <w:t xml:space="preserve">5. При установлении доминирующего положения хозяйствующего субъекта проводится оценка состояния конкурентной среды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По результатам оценки состояния конкурентной среды формируется и ведется государственный реестр хозяйствующих субъектов, занимающих доминирующее положение на товарном рынке Кыргызской Республики,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Хозяйствующие субъекты, включенные в государственный реестр хозяйствующих субъектов, занимающих доминирующее положение на товарном рынке Кыргызской Республики, находятся в зоне постоянного экономико-статистического наблюдения и контроля,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3) пункт 2 части 1 статьи 7-2 изложить в следующей редакции:</w:t>
      </w:r>
    </w:p>
    <w:p>
      <w:pPr>
        <w:spacing w:after="60"/>
        <w:ind w:firstLine="567"/>
        <w:jc w:val="both"/>
      </w:pPr>
      <w:r>
        <w:rPr>
          <w:rFonts w:ascii="Arial" w:cs="Arial" w:eastAsia="Arial" w:hAnsi="Arial"/>
          <w:sz w:val="24"/>
          <w:szCs w:val="24"/>
        </w:rPr>
        <w:t xml:space="preserve">"2) если доля каждого из участников такого соглашения на товарном рынке товара, являющегося предметом вертикального соглашения" не превышает 20 процентов.";</w:t>
      </w:r>
    </w:p>
    <w:p>
      <w:pPr>
        <w:spacing w:after="60"/>
        <w:ind w:firstLine="567"/>
        <w:jc w:val="both"/>
      </w:pPr>
      <w:r>
        <w:rPr>
          <w:rFonts w:ascii="Arial" w:cs="Arial" w:eastAsia="Arial" w:hAnsi="Arial"/>
          <w:sz w:val="24"/>
          <w:szCs w:val="24"/>
        </w:rPr>
        <w:t xml:space="preserve">4) часть 1 статьи 9 дополнить пунктом 13 следующего содержания:</w:t>
      </w:r>
    </w:p>
    <w:p>
      <w:pPr>
        <w:spacing w:after="60"/>
        <w:ind w:firstLine="567"/>
        <w:jc w:val="both"/>
      </w:pPr>
      <w:r>
        <w:rPr>
          <w:rFonts w:ascii="Arial" w:cs="Arial" w:eastAsia="Arial" w:hAnsi="Arial"/>
          <w:sz w:val="24"/>
          <w:szCs w:val="24"/>
        </w:rPr>
        <w:t xml:space="preserve">"13) предоставление государственной или муниципальной преференции в нарушение требований, установленных статьей 9-1 настоящего Закона.";</w:t>
      </w:r>
    </w:p>
    <w:p>
      <w:pPr>
        <w:spacing w:after="60"/>
        <w:ind w:firstLine="567"/>
        <w:jc w:val="both"/>
      </w:pPr>
      <w:r>
        <w:rPr>
          <w:rFonts w:ascii="Arial" w:cs="Arial" w:eastAsia="Arial" w:hAnsi="Arial"/>
          <w:sz w:val="24"/>
          <w:szCs w:val="24"/>
        </w:rPr>
        <w:t xml:space="preserve">5) статью 11 изложить в следующей редакции:</w:t>
      </w:r>
    </w:p>
    <w:p>
      <w:pPr>
        <w:spacing w:after="60"/>
        <w:ind w:firstLine="567"/>
        <w:jc w:val="both"/>
      </w:pPr>
      <w:r>
        <w:rPr>
          <w:rFonts w:ascii="Arial" w:cs="Arial" w:eastAsia="Arial" w:hAnsi="Arial"/>
          <w:sz w:val="24"/>
          <w:szCs w:val="24"/>
        </w:rPr>
        <w:t xml:space="preserve">"Статья 11. Государственный контроль за экономической концентрацией</w:t>
      </w:r>
    </w:p>
    <w:p>
      <w:pPr>
        <w:spacing w:after="60"/>
        <w:ind w:firstLine="567"/>
        <w:jc w:val="both"/>
      </w:pPr>
      <w:r>
        <w:rPr>
          <w:rFonts w:ascii="Arial" w:cs="Arial" w:eastAsia="Arial" w:hAnsi="Arial"/>
          <w:sz w:val="24"/>
          <w:szCs w:val="24"/>
        </w:rPr>
        <w:t xml:space="preserve">1. В целях недопущения ограничения конкуренции антимонопольным органом осуществляется государственный контроль в следующих случаях:</w:t>
      </w:r>
    </w:p>
    <w:p>
      <w:pPr>
        <w:spacing w:after="60"/>
        <w:ind w:firstLine="567"/>
        <w:jc w:val="both"/>
      </w:pPr>
      <w:r>
        <w:rPr>
          <w:rFonts w:ascii="Arial" w:cs="Arial" w:eastAsia="Arial" w:hAnsi="Arial"/>
          <w:sz w:val="24"/>
          <w:szCs w:val="24"/>
        </w:rPr>
        <w:t xml:space="preserve">1) слияние, присоединение, преобразование хозяйствующих субъектов (их объединений);</w:t>
      </w:r>
    </w:p>
    <w:p>
      <w:pPr>
        <w:spacing w:after="60"/>
        <w:ind w:firstLine="567"/>
        <w:jc w:val="both"/>
      </w:pPr>
      <w:r>
        <w:rPr>
          <w:rFonts w:ascii="Arial" w:cs="Arial" w:eastAsia="Arial" w:hAnsi="Arial"/>
          <w:sz w:val="24"/>
          <w:szCs w:val="24"/>
        </w:rPr>
        <w:t xml:space="preserve">2) создание хозяйствующих субъектов, более пяти процентов акций (долей участия в уставном капитале) которых принадлежат государству;</w:t>
      </w:r>
    </w:p>
    <w:p>
      <w:pPr>
        <w:spacing w:after="60"/>
        <w:ind w:firstLine="567"/>
        <w:jc w:val="both"/>
      </w:pPr>
      <w:r>
        <w:rPr>
          <w:rFonts w:ascii="Arial" w:cs="Arial" w:eastAsia="Arial" w:hAnsi="Arial"/>
          <w:sz w:val="24"/>
          <w:szCs w:val="24"/>
        </w:rPr>
        <w:t xml:space="preserve">3) создание хозяйствующих субъектов, участниками которых являются аффилированные с ними лица и/или группа лиц согласно статьям 3 и 5 настоящего Закона;</w:t>
      </w:r>
    </w:p>
    <w:p>
      <w:pPr>
        <w:spacing w:after="60"/>
        <w:ind w:firstLine="567"/>
        <w:jc w:val="both"/>
      </w:pPr>
      <w:r>
        <w:rPr>
          <w:rFonts w:ascii="Arial" w:cs="Arial" w:eastAsia="Arial" w:hAnsi="Arial"/>
          <w:sz w:val="24"/>
          <w:szCs w:val="24"/>
        </w:rPr>
        <w:t xml:space="preserve">4) создание, слияние, присоединение и ликвидация государственных и муниципальных предприятий.</w:t>
      </w:r>
    </w:p>
    <w:p>
      <w:pPr>
        <w:spacing w:after="60"/>
        <w:ind w:firstLine="567"/>
        <w:jc w:val="both"/>
      </w:pPr>
      <w:r>
        <w:rPr>
          <w:rFonts w:ascii="Arial" w:cs="Arial" w:eastAsia="Arial" w:hAnsi="Arial"/>
          <w:sz w:val="24"/>
          <w:szCs w:val="24"/>
        </w:rPr>
        <w:t xml:space="preserve">2. Хозяйствующим субъектам, принимающим решения о создании, слиянии, присоединении, преобразовании, ликвидации в случаях, предусмотренных частью 1 настоящей статьи, необходимо получить согласие антимонопольного органа.</w:t>
      </w:r>
    </w:p>
    <w:p>
      <w:pPr>
        <w:spacing w:after="60"/>
        <w:ind w:firstLine="567"/>
        <w:jc w:val="both"/>
      </w:pPr>
      <w:r>
        <w:rPr>
          <w:rFonts w:ascii="Arial" w:cs="Arial" w:eastAsia="Arial" w:hAnsi="Arial"/>
          <w:sz w:val="24"/>
          <w:szCs w:val="24"/>
        </w:rPr>
        <w:t xml:space="preserve">Документы на получение согласия антимонопольного органа представляются в соответствии с порядком, установленным Правительством Кыргызской Республики.</w:t>
      </w:r>
    </w:p>
    <w:p>
      <w:pPr>
        <w:spacing w:after="60"/>
        <w:ind w:firstLine="567"/>
        <w:jc w:val="both"/>
      </w:pPr>
      <w:r>
        <w:rPr>
          <w:rFonts w:ascii="Arial" w:cs="Arial" w:eastAsia="Arial" w:hAnsi="Arial"/>
          <w:sz w:val="24"/>
          <w:szCs w:val="24"/>
        </w:rPr>
        <w:t xml:space="preserve">Антимонопольный орган не позднее 10 календарных дней со дня получения всех необходимых документов сообщает заявителю в письменной форме о своем решении.</w:t>
      </w:r>
    </w:p>
    <w:p>
      <w:pPr>
        <w:spacing w:after="60"/>
        <w:ind w:firstLine="567"/>
        <w:jc w:val="both"/>
      </w:pPr>
      <w:r>
        <w:rPr>
          <w:rFonts w:ascii="Arial" w:cs="Arial" w:eastAsia="Arial" w:hAnsi="Arial"/>
          <w:sz w:val="24"/>
          <w:szCs w:val="24"/>
        </w:rPr>
        <w:t xml:space="preserve">3. Антимонопольный орган вправе отклонить ходатайство, если его удовлетворение может привести к возникновению или усилению доминирующего положения соответствующей организации, и, как следствие, - к ограничению конкуренции, либо в случае предоставления недостоверной информации в процессе согласования.</w:t>
      </w:r>
    </w:p>
    <w:p>
      <w:pPr>
        <w:spacing w:after="60"/>
        <w:ind w:firstLine="567"/>
        <w:jc w:val="both"/>
      </w:pPr>
      <w:r>
        <w:rPr>
          <w:rFonts w:ascii="Arial" w:cs="Arial" w:eastAsia="Arial" w:hAnsi="Arial"/>
          <w:sz w:val="24"/>
          <w:szCs w:val="24"/>
        </w:rPr>
        <w:t xml:space="preserve">4. В случае слияния, присоединения, преобразования и ликвидации хозяйствующих субъектов, предусмотренных частью 1 настоящей статьи, государственная регистрация (перерегистрация) их осуществляется регистрирующим органом только с предварительного согласия антимонопольного органа.</w:t>
      </w:r>
    </w:p>
    <w:p>
      <w:pPr>
        <w:spacing w:after="60"/>
        <w:ind w:firstLine="567"/>
        <w:jc w:val="both"/>
      </w:pPr>
      <w:r>
        <w:rPr>
          <w:rFonts w:ascii="Arial" w:cs="Arial" w:eastAsia="Arial" w:hAnsi="Arial"/>
          <w:sz w:val="24"/>
          <w:szCs w:val="24"/>
        </w:rPr>
        <w:t xml:space="preserve">Государственная регистрация хозяйствующих субъектов и их объединений, функционирующих в нарушение настоящей статьи, признается недействительной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 в статье 14 слова "информации в соответствии с" заменить словами "информации, в том числе коммерческой, служебной и иную охраняемую законом информацию, в порядке, установленном";</w:t>
      </w:r>
    </w:p>
    <w:p>
      <w:pPr>
        <w:spacing w:after="60"/>
        <w:ind w:firstLine="567"/>
        <w:jc w:val="both"/>
      </w:pPr>
      <w:r>
        <w:rPr>
          <w:rFonts w:ascii="Arial" w:cs="Arial" w:eastAsia="Arial" w:hAnsi="Arial"/>
          <w:sz w:val="24"/>
          <w:szCs w:val="24"/>
        </w:rPr>
        <w:t xml:space="preserve">7) в статье 15 слова "в разрезе хозяйствующих субъектов" заменить словами "коммерческую, служебную и иную охраняемую законом информацию,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8) часть 1 статьи 18 после слов "на основании" дополнить словами "заявлений физических и юридических лиц,";</w:t>
      </w:r>
    </w:p>
    <w:p>
      <w:pPr>
        <w:spacing w:after="60"/>
        <w:ind w:firstLine="567"/>
        <w:jc w:val="both"/>
      </w:pPr>
      <w:r>
        <w:rPr>
          <w:rFonts w:ascii="Arial" w:cs="Arial" w:eastAsia="Arial" w:hAnsi="Arial"/>
          <w:sz w:val="24"/>
          <w:szCs w:val="24"/>
        </w:rPr>
        <w:t xml:space="preserve">9) в статье 18-1:</w:t>
      </w:r>
    </w:p>
    <w:p>
      <w:pPr>
        <w:spacing w:after="60"/>
        <w:ind w:firstLine="567"/>
        <w:jc w:val="both"/>
      </w:pPr>
      <w:r>
        <w:rPr>
          <w:rFonts w:ascii="Arial" w:cs="Arial" w:eastAsia="Arial" w:hAnsi="Arial"/>
          <w:sz w:val="24"/>
          <w:szCs w:val="24"/>
        </w:rPr>
        <w:t xml:space="preserve">а) часть 1 после слова "направляет" дополнить словами "государственному органу, органу местного самоуправления,";</w:t>
      </w:r>
    </w:p>
    <w:p>
      <w:pPr>
        <w:spacing w:after="60"/>
        <w:ind w:firstLine="567"/>
        <w:jc w:val="both"/>
      </w:pPr>
      <w:r>
        <w:rPr>
          <w:rFonts w:ascii="Arial" w:cs="Arial" w:eastAsia="Arial" w:hAnsi="Arial"/>
          <w:sz w:val="24"/>
          <w:szCs w:val="24"/>
        </w:rPr>
        <w:t xml:space="preserve">б) часть 2 изложить в следующей редакции:</w:t>
      </w:r>
    </w:p>
    <w:p>
      <w:pPr>
        <w:spacing w:after="60"/>
        <w:ind w:firstLine="567"/>
        <w:jc w:val="both"/>
      </w:pPr>
      <w:r>
        <w:rPr>
          <w:rFonts w:ascii="Arial" w:cs="Arial" w:eastAsia="Arial" w:hAnsi="Arial"/>
          <w:sz w:val="24"/>
          <w:szCs w:val="24"/>
        </w:rPr>
        <w:t xml:space="preserve">"2. Основанием для направления предостережения являются публичное заявление о поведении хозяйствующего субъекта и/или информация о планируемых действиях государственного органа, органа местного самоуправления на товарном рынке, если такое поведение может привести к нарушению антимонопольного законодательства, и при этом отсутствуют основания для возбуждения и рассмотрения дела о нарушении антимонопольного законодательства.".</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Внести в Кодекс Кыргызской Республики об административной ответственности (Ведомости Жогорку Кенеша Кыргызской Республики, 1999 г., № 2, ст.77) следующие изменения:</w:t>
      </w:r>
    </w:p>
    <w:p>
      <w:pPr>
        <w:spacing w:after="60"/>
        <w:ind w:firstLine="567"/>
        <w:jc w:val="both"/>
      </w:pPr>
      <w:r>
        <w:rPr>
          <w:rFonts w:ascii="Arial" w:cs="Arial" w:eastAsia="Arial" w:hAnsi="Arial"/>
          <w:sz w:val="24"/>
          <w:szCs w:val="24"/>
        </w:rPr>
        <w:t xml:space="preserve">1) статьи 324 и 325 изложить в следующей редакции:</w:t>
      </w:r>
    </w:p>
    <w:p>
      <w:pPr>
        <w:spacing w:after="60"/>
        <w:ind w:firstLine="567"/>
        <w:jc w:val="both"/>
      </w:pPr>
      <w:r>
        <w:rPr>
          <w:rFonts w:ascii="Arial" w:cs="Arial" w:eastAsia="Arial" w:hAnsi="Arial"/>
          <w:sz w:val="24"/>
          <w:szCs w:val="24"/>
        </w:rPr>
        <w:t xml:space="preserve">"Статья 324. Нарушение установленного порядка формирования и применения цен (тарифов)</w:t>
      </w:r>
    </w:p>
    <w:p>
      <w:pPr>
        <w:spacing w:after="60"/>
        <w:ind w:firstLine="567"/>
        <w:jc w:val="both"/>
      </w:pPr>
      <w:r>
        <w:rPr>
          <w:rFonts w:ascii="Arial" w:cs="Arial" w:eastAsia="Arial" w:hAnsi="Arial"/>
          <w:sz w:val="24"/>
          <w:szCs w:val="24"/>
        </w:rPr>
        <w:t xml:space="preserve">Завышение регулируемых государством цен (максимальных цен на социально значимые товары, уровня цен (тарифов) на товары, работы, услуги субъектов естественных монополий), завышение установленных надбавок, максимальных надбавок к ценам, установленных в соответствии с антимонопольным законодательством и законодательством о внутренней торговле, -</w:t>
      </w:r>
    </w:p>
    <w:p>
      <w:pPr>
        <w:spacing w:after="60"/>
        <w:ind w:firstLine="567"/>
        <w:jc w:val="both"/>
      </w:pPr>
      <w:r>
        <w:rPr>
          <w:rFonts w:ascii="Arial" w:cs="Arial" w:eastAsia="Arial" w:hAnsi="Arial"/>
          <w:sz w:val="24"/>
          <w:szCs w:val="24"/>
        </w:rPr>
        <w:t xml:space="preserve">влекут наложение административного штрафа на должностных лиц - в размере пятидесяти расчетных показателей, на юридических лиц - в размере пятисот расчетных показателей.</w:t>
      </w:r>
    </w:p>
    <w:p>
      <w:pPr>
        <w:spacing w:after="60"/>
        <w:ind w:firstLine="567"/>
        <w:jc w:val="both"/>
      </w:pPr>
      <w:r>
        <w:rPr>
          <w:rFonts w:ascii="Arial" w:cs="Arial" w:eastAsia="Arial" w:hAnsi="Arial"/>
          <w:sz w:val="24"/>
          <w:szCs w:val="24"/>
        </w:rPr>
        <w:t xml:space="preserve">Занижение регулируемых государством цен (тарифов) на товары, работы, услуги (минимальных цен), занижение установленных минимальных надбавок к ценам, установленных в соответствии с законодательством о внутренней торговле, -</w:t>
      </w:r>
    </w:p>
    <w:p>
      <w:pPr>
        <w:spacing w:after="60"/>
        <w:ind w:firstLine="567"/>
        <w:jc w:val="both"/>
      </w:pPr>
      <w:r>
        <w:rPr>
          <w:rFonts w:ascii="Arial" w:cs="Arial" w:eastAsia="Arial" w:hAnsi="Arial"/>
          <w:sz w:val="24"/>
          <w:szCs w:val="24"/>
        </w:rPr>
        <w:t xml:space="preserve">влекут наложение административного штрафа на должностных лиц в размере ста расчетных показателей, на юридических лиц - в размере пятисот расчетных показателей.</w:t>
      </w:r>
    </w:p>
    <w:p>
      <w:pPr>
        <w:spacing w:after="60"/>
        <w:ind w:firstLine="567"/>
        <w:jc w:val="both"/>
      </w:pPr>
      <w:r>
        <w:rPr>
          <w:rFonts w:ascii="Arial" w:cs="Arial" w:eastAsia="Arial" w:hAnsi="Arial"/>
          <w:sz w:val="24"/>
          <w:szCs w:val="24"/>
        </w:rPr>
        <w:t xml:space="preserve">Статья 325. Действия, направленные на незаконное получение дохода (выручки)</w:t>
      </w:r>
    </w:p>
    <w:p>
      <w:pPr>
        <w:spacing w:after="60"/>
        <w:ind w:firstLine="567"/>
        <w:jc w:val="both"/>
      </w:pPr>
      <w:r>
        <w:rPr>
          <w:rFonts w:ascii="Arial" w:cs="Arial" w:eastAsia="Arial" w:hAnsi="Arial"/>
          <w:sz w:val="24"/>
          <w:szCs w:val="24"/>
        </w:rPr>
        <w:t xml:space="preserve">Неперечисление либо несвоевременное перечисление в бюджет средств, полученных за счет завышения регулируемых государством цен (тарифов) и несвоевременного снижения цен (тарифов) на товары (работы, услуги) хозяйствующих субъектов, включенных в государственные реестры субъектов естественных монополий, а также иных хозяйствующих субъектов, на товары (работы, услуги) которых осуществляется государственное регулирование цен (тарифов), -</w:t>
      </w:r>
    </w:p>
    <w:p>
      <w:pPr>
        <w:spacing w:after="60"/>
        <w:ind w:firstLine="567"/>
        <w:jc w:val="both"/>
      </w:pPr>
      <w:r>
        <w:rPr>
          <w:rFonts w:ascii="Arial" w:cs="Arial" w:eastAsia="Arial" w:hAnsi="Arial"/>
          <w:sz w:val="24"/>
          <w:szCs w:val="24"/>
        </w:rPr>
        <w:t xml:space="preserve">влечет наложение административного штрафа на должностных лиц в размере ста расчетных показателей.".</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Правительству Кыргызской Республики в шестимесячный срок привести свои решения в соответствие с настоящим Законом.</w:t>
      </w:r>
    </w:p>
    <w:p>
      <w:pPr>
        <w:spacing w:after="60" w:before="200"/>
        <w:ind w:firstLine="567"/>
        <w:jc w:val="both"/>
      </w:pPr>
      <w:r>
        <w:rPr>
          <w:rFonts w:ascii="Arial" w:cs="Arial" w:eastAsia="Arial" w:hAnsi="Arial"/>
          <w:b/>
          <w:bCs/>
          <w:sz w:val="24"/>
          <w:szCs w:val="24"/>
        </w:rPr>
        <w:t xml:space="preserve">Президент Кыргызской Республики</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6qjmdmvnfpfgeqbpkbm-">
      <w:r>
        <w:rPr>
          <w:rFonts w:ascii="Arial" w:cs="Arial" w:eastAsia="Arial" w:hAnsi="Arial"/>
          <w:color w:val="132D3F"/>
          <w:sz w:val="16"/>
          <w:szCs w:val="16"/>
          <w:u w:val="single"/>
        </w:rPr>
        <w:t xml:space="preserve">dalil.kg/document/11833</w:t>
      </w:r>
    </w:hyperlink>
  </w:p>
  <w:p>
    <w:pPr>
      <w:spacing w:after="0" w:before="40"/>
      <w:jc w:val="center"/>
    </w:pPr>
    <w:hyperlink w:history="1" r:id="rIdxf_8n_5fmfxoipcozi0i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w4jfl_xbmwtqcc7tcf_" Type="http://schemas.openxmlformats.org/officeDocument/2006/relationships/hyperlink" Target="https://dalil.kg/document/159885" TargetMode="External"/><Relationship Id="rIdbcqh4yb7t5qz6mjbwu19l" Type="http://schemas.openxmlformats.org/officeDocument/2006/relationships/hyperlink" Target="https://dalil.kg/document/202913" TargetMode="External"/><Relationship Id="rIdem--brv8-bkjg2pjrggix" Type="http://schemas.openxmlformats.org/officeDocument/2006/relationships/hyperlink" Target="https://dalil.kg/document/11833#p1" TargetMode="External"/><Relationship Id="rIdyonti_oiq5yut9pihbcil" Type="http://schemas.openxmlformats.org/officeDocument/2006/relationships/hyperlink" Target="https://dalil.kg/document/203356" TargetMode="External"/><Relationship Id="rId78clmkqghskdpyvm_hhfo"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6qjmdmvnfpfgeqbpkbm-" Type="http://schemas.openxmlformats.org/officeDocument/2006/relationships/hyperlink" Target="https://dalil.kg/document/11833" TargetMode="External"/><Relationship Id="rIdxf_8n_5fmfxoipcozi0i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2026-09-25T00:29:44.853Z</dcterms:created>
  <dcterms:modified xsi:type="dcterms:W3CDTF">2026-09-25T00:29:44.853Z</dcterms:modified>
</cp:coreProperties>
</file>

<file path=docProps/custom.xml><?xml version="1.0" encoding="utf-8"?>
<Properties xmlns="http://schemas.openxmlformats.org/officeDocument/2006/custom-properties" xmlns:vt="http://schemas.openxmlformats.org/officeDocument/2006/docPropsVTypes"/>
</file>