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7icwgc61krehuna_3blze">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10 июля 2018 года № 317</w:t>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 мерах по реализации требований статей 95, 101, 102, 105, 128, 135, 148, 153, 157, 158, 163, 176, 180, 213, 229, 232 Закона Кыргызской Республики "О таможенном регулировании в Кыргызской Республике" от 10 августа 2015 года № 564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сокращения количества автотранспортных средств с повышенным уровнем износа и стимулирования ввоза физическими лицами автотранспортных средств с электрическими, гибридными двигателями на территорию Кыргызской Республики,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jk6ldvxnvyfntxeveqnse">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yibhwrfxlwykkne_rpqr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95</w:t>
      </w:r>
      <w:r>
        <w:rPr>
          <w:rFonts w:ascii="Arial" w:cs="Arial" w:eastAsia="Arial" w:hAnsi="Arial"/>
          <w:sz w:val="24"/>
          <w:szCs w:val="24"/>
        </w:rPr>
        <w:t xml:space="preserve">, </w:t>
      </w: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102</w:t>
      </w:r>
      <w:r>
        <w:rPr>
          <w:rFonts w:ascii="Arial" w:cs="Arial" w:eastAsia="Arial" w:hAnsi="Arial"/>
          <w:sz w:val="24"/>
          <w:szCs w:val="24"/>
        </w:rPr>
        <w:t xml:space="preserve">, </w:t>
      </w:r>
      <w:r>
        <w:rPr>
          <w:rFonts w:ascii="Arial" w:cs="Arial" w:eastAsia="Arial" w:hAnsi="Arial"/>
          <w:sz w:val="24"/>
          <w:szCs w:val="24"/>
        </w:rPr>
        <w:t xml:space="preserve">105</w:t>
      </w:r>
      <w:r>
        <w:rPr>
          <w:rFonts w:ascii="Arial" w:cs="Arial" w:eastAsia="Arial" w:hAnsi="Arial"/>
          <w:sz w:val="24"/>
          <w:szCs w:val="24"/>
        </w:rPr>
        <w:t xml:space="preserve">, </w:t>
      </w:r>
      <w:r>
        <w:rPr>
          <w:rFonts w:ascii="Arial" w:cs="Arial" w:eastAsia="Arial" w:hAnsi="Arial"/>
          <w:sz w:val="24"/>
          <w:szCs w:val="24"/>
        </w:rPr>
        <w:t xml:space="preserve">128</w:t>
      </w:r>
      <w:r>
        <w:rPr>
          <w:rFonts w:ascii="Arial" w:cs="Arial" w:eastAsia="Arial" w:hAnsi="Arial"/>
          <w:sz w:val="24"/>
          <w:szCs w:val="24"/>
        </w:rPr>
        <w:t xml:space="preserve">, </w:t>
      </w:r>
      <w:r>
        <w:rPr>
          <w:rFonts w:ascii="Arial" w:cs="Arial" w:eastAsia="Arial" w:hAnsi="Arial"/>
          <w:sz w:val="24"/>
          <w:szCs w:val="24"/>
        </w:rPr>
        <w:t xml:space="preserve">135</w:t>
      </w:r>
      <w:r>
        <w:rPr>
          <w:rFonts w:ascii="Arial" w:cs="Arial" w:eastAsia="Arial" w:hAnsi="Arial"/>
          <w:sz w:val="24"/>
          <w:szCs w:val="24"/>
        </w:rPr>
        <w:t xml:space="preserve">, </w:t>
      </w:r>
      <w:r>
        <w:rPr>
          <w:rFonts w:ascii="Arial" w:cs="Arial" w:eastAsia="Arial" w:hAnsi="Arial"/>
          <w:sz w:val="24"/>
          <w:szCs w:val="24"/>
        </w:rPr>
        <w:t xml:space="preserve">148</w:t>
      </w:r>
      <w:r>
        <w:rPr>
          <w:rFonts w:ascii="Arial" w:cs="Arial" w:eastAsia="Arial" w:hAnsi="Arial"/>
          <w:sz w:val="24"/>
          <w:szCs w:val="24"/>
        </w:rPr>
        <w:t xml:space="preserve">, </w:t>
      </w:r>
      <w:r>
        <w:rPr>
          <w:rFonts w:ascii="Arial" w:cs="Arial" w:eastAsia="Arial" w:hAnsi="Arial"/>
          <w:sz w:val="24"/>
          <w:szCs w:val="24"/>
        </w:rPr>
        <w:t xml:space="preserve">153</w:t>
      </w:r>
      <w:r>
        <w:rPr>
          <w:rFonts w:ascii="Arial" w:cs="Arial" w:eastAsia="Arial" w:hAnsi="Arial"/>
          <w:sz w:val="24"/>
          <w:szCs w:val="24"/>
        </w:rPr>
        <w:t xml:space="preserve">, </w:t>
      </w:r>
      <w:r>
        <w:rPr>
          <w:rFonts w:ascii="Arial" w:cs="Arial" w:eastAsia="Arial" w:hAnsi="Arial"/>
          <w:sz w:val="24"/>
          <w:szCs w:val="24"/>
        </w:rPr>
        <w:t xml:space="preserve">157</w:t>
      </w:r>
      <w:r>
        <w:rPr>
          <w:rFonts w:ascii="Arial" w:cs="Arial" w:eastAsia="Arial" w:hAnsi="Arial"/>
          <w:sz w:val="24"/>
          <w:szCs w:val="24"/>
        </w:rPr>
        <w:t xml:space="preserve">, </w:t>
      </w:r>
      <w:r>
        <w:rPr>
          <w:rFonts w:ascii="Arial" w:cs="Arial" w:eastAsia="Arial" w:hAnsi="Arial"/>
          <w:sz w:val="24"/>
          <w:szCs w:val="24"/>
        </w:rPr>
        <w:t xml:space="preserve">158</w:t>
      </w:r>
      <w:r>
        <w:rPr>
          <w:rFonts w:ascii="Arial" w:cs="Arial" w:eastAsia="Arial" w:hAnsi="Arial"/>
          <w:sz w:val="24"/>
          <w:szCs w:val="24"/>
        </w:rPr>
        <w:t xml:space="preserve">, </w:t>
      </w:r>
      <w:r>
        <w:rPr>
          <w:rFonts w:ascii="Arial" w:cs="Arial" w:eastAsia="Arial" w:hAnsi="Arial"/>
          <w:sz w:val="24"/>
          <w:szCs w:val="24"/>
        </w:rPr>
        <w:t xml:space="preserve">163</w:t>
      </w:r>
      <w:r>
        <w:rPr>
          <w:rFonts w:ascii="Arial" w:cs="Arial" w:eastAsia="Arial" w:hAnsi="Arial"/>
          <w:sz w:val="24"/>
          <w:szCs w:val="24"/>
        </w:rPr>
        <w:t xml:space="preserve">, </w:t>
      </w:r>
      <w:r>
        <w:rPr>
          <w:rFonts w:ascii="Arial" w:cs="Arial" w:eastAsia="Arial" w:hAnsi="Arial"/>
          <w:sz w:val="24"/>
          <w:szCs w:val="24"/>
        </w:rPr>
        <w:t xml:space="preserve">176</w:t>
      </w:r>
      <w:r>
        <w:rPr>
          <w:rFonts w:ascii="Arial" w:cs="Arial" w:eastAsia="Arial" w:hAnsi="Arial"/>
          <w:sz w:val="24"/>
          <w:szCs w:val="24"/>
        </w:rPr>
        <w:t xml:space="preserve">, </w:t>
      </w:r>
      <w:r>
        <w:rPr>
          <w:rFonts w:ascii="Arial" w:cs="Arial" w:eastAsia="Arial" w:hAnsi="Arial"/>
          <w:sz w:val="24"/>
          <w:szCs w:val="24"/>
        </w:rPr>
        <w:t xml:space="preserve">180</w:t>
      </w:r>
      <w:r>
        <w:rPr>
          <w:rFonts w:ascii="Arial" w:cs="Arial" w:eastAsia="Arial" w:hAnsi="Arial"/>
          <w:sz w:val="24"/>
          <w:szCs w:val="24"/>
        </w:rPr>
        <w:t xml:space="preserve">, </w:t>
      </w:r>
      <w:r>
        <w:rPr>
          <w:rFonts w:ascii="Arial" w:cs="Arial" w:eastAsia="Arial" w:hAnsi="Arial"/>
          <w:sz w:val="24"/>
          <w:szCs w:val="24"/>
        </w:rPr>
        <w:t xml:space="preserve">213</w:t>
      </w:r>
      <w:r>
        <w:rPr>
          <w:rFonts w:ascii="Arial" w:cs="Arial" w:eastAsia="Arial" w:hAnsi="Arial"/>
          <w:sz w:val="24"/>
          <w:szCs w:val="24"/>
        </w:rPr>
        <w:t xml:space="preserve">, </w:t>
      </w:r>
      <w:r>
        <w:rPr>
          <w:rFonts w:ascii="Arial" w:cs="Arial" w:eastAsia="Arial" w:hAnsi="Arial"/>
          <w:sz w:val="24"/>
          <w:szCs w:val="24"/>
        </w:rPr>
        <w:t xml:space="preserve">229</w:t>
      </w:r>
      <w:r>
        <w:rPr>
          <w:rFonts w:ascii="Arial" w:cs="Arial" w:eastAsia="Arial" w:hAnsi="Arial"/>
          <w:sz w:val="24"/>
          <w:szCs w:val="24"/>
        </w:rPr>
        <w:t xml:space="preserve">, </w:t>
      </w:r>
      <w:r>
        <w:rPr>
          <w:rFonts w:ascii="Arial" w:cs="Arial" w:eastAsia="Arial" w:hAnsi="Arial"/>
          <w:sz w:val="24"/>
          <w:szCs w:val="24"/>
        </w:rPr>
        <w:t xml:space="preserve">232</w:t>
      </w:r>
      <w:r>
        <w:rPr>
          <w:rFonts w:ascii="Arial" w:cs="Arial" w:eastAsia="Arial" w:hAnsi="Arial"/>
          <w:sz w:val="24"/>
          <w:szCs w:val="24"/>
        </w:rPr>
        <w:t xml:space="preserve"> </w:t>
      </w:r>
      <w:hyperlink w:history="1" r:id="rIdesrmkhfnbbks9dd3sbkr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от 10 августа 2015 года № 564 следующие изменения:</w:t>
      </w:r>
    </w:p>
    <w:p>
      <w:pPr>
        <w:spacing w:after="120"/>
        <w:jc w:val="both"/>
      </w:pPr>
      <w:r>
        <w:rPr>
          <w:rFonts w:ascii="Arial" w:cs="Arial" w:eastAsia="Arial" w:hAnsi="Arial"/>
          <w:sz w:val="24"/>
          <w:szCs w:val="24"/>
        </w:rPr>
        <w:t xml:space="preserve">во </w:t>
      </w:r>
      <w:hyperlink w:history="1" r:id="rIdrg-wutzx9aldqtpgtdoc3">
        <w:r>
          <w:rPr>
            <w:rFonts w:ascii="Arial" w:cs="Arial" w:eastAsia="Arial" w:hAnsi="Arial"/>
            <w:color w:val="1D4ED8"/>
            <w:sz w:val="24"/>
            <w:szCs w:val="24"/>
            <w:u w:val="single"/>
          </w:rPr>
          <w:t xml:space="preserve">Временной инструкции</w:t>
        </w:r>
      </w:hyperlink>
      <w:r>
        <w:rPr>
          <w:rFonts w:ascii="Arial" w:cs="Arial" w:eastAsia="Arial" w:hAnsi="Arial"/>
          <w:sz w:val="24"/>
          <w:szCs w:val="24"/>
        </w:rPr>
        <w:t xml:space="preserve"> о перемещении транспортных средств через таможенную границу Евразийского экономического союза в Кыргызской Республике физическими лицами для личного пользования, утвержденной вышеназванным </w:t>
      </w:r>
      <w:hyperlink w:history="1" r:id="rId7wg_6b9mu_wtbqu3ue_d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приложения </w:t>
      </w:r>
      <w:hyperlink w:history="1" r:id="rIdp-00hvmic2fszessfxgr4">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d5o_by6k7fq3wjes8unjn">
        <w:r>
          <w:rPr>
            <w:rFonts w:ascii="Arial" w:cs="Arial" w:eastAsia="Arial" w:hAnsi="Arial"/>
            <w:color w:val="1D4ED8"/>
            <w:sz w:val="24"/>
            <w:szCs w:val="24"/>
            <w:u w:val="single"/>
          </w:rPr>
          <w:t xml:space="preserve">2</w:t>
        </w:r>
      </w:hyperlink>
      <w:r>
        <w:rPr>
          <w:rFonts w:ascii="Arial" w:cs="Arial" w:eastAsia="Arial" w:hAnsi="Arial"/>
          <w:sz w:val="24"/>
          <w:szCs w:val="24"/>
        </w:rPr>
        <w:t xml:space="preserve"> изложить в редакции согласно приложениям </w:t>
      </w:r>
      <w:hyperlink w:history="1" r:id="rId5oxwm_gy0tjrme1nm7emb">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27asxqwsh_xcjuxu7dul2">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Государственной таможенной службе при Правительстве Кыргызской Республики:</w:t>
      </w:r>
    </w:p>
    <w:p>
      <w:pPr>
        <w:spacing w:after="120"/>
        <w:jc w:val="both"/>
      </w:pPr>
      <w:r>
        <w:rPr>
          <w:rFonts w:ascii="Arial" w:cs="Arial" w:eastAsia="Arial" w:hAnsi="Arial"/>
          <w:sz w:val="24"/>
          <w:szCs w:val="24"/>
        </w:rPr>
        <w:t xml:space="preserve">- в установленном порядке уведомить таможенные органы государств-членов Евразийского экономического союза о принятии настоящего постановления;</w:t>
      </w:r>
    </w:p>
    <w:p>
      <w:pPr>
        <w:spacing w:after="120"/>
        <w:jc w:val="both"/>
      </w:pPr>
      <w:r>
        <w:rPr>
          <w:rFonts w:ascii="Arial" w:cs="Arial" w:eastAsia="Arial" w:hAnsi="Arial"/>
          <w:sz w:val="24"/>
          <w:szCs w:val="24"/>
        </w:rPr>
        <w:t xml:space="preserve">- в месячный срок организовать мероприятия по информированию населения и субъектов внешнеэкономической деятельности о внесенных изменениях.</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0drf70iwp2um3-3fzbro7">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Временной инструкции о перемещении транспортных средств через таможенную границу Евразийского экономического союза в Кыргызской Республике физическими лицами для личного пользования</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0"/>
        <w:gridCol w:w="1268"/>
        <w:gridCol w:w="6950"/>
      </w:tblGrid>
      <w:tr>
        <w:tc>
          <w:tcPr>
            <w:tcW w:type="dxa" w:w="19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 момента выпуска прошло</w:t>
            </w:r>
          </w:p>
        </w:tc>
        <w:tc>
          <w:tcPr>
            <w:tcW w:type="dxa" w:w="12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выпуска</w:t>
            </w:r>
          </w:p>
        </w:tc>
        <w:tc>
          <w:tcPr>
            <w:tcW w:type="dxa" w:w="6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Таможенные сборы за совершение действий, связанных с выпуском автомобиля для внутреннего потребления физическими лицами</w:t>
            </w:r>
          </w:p>
        </w:tc>
      </w:tr>
      <w:tr>
        <w:tc>
          <w:tcPr>
            <w:tcW w:type="dxa" w:w="1960"/>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 год</w:t>
            </w:r>
          </w:p>
        </w:tc>
        <w:tc>
          <w:tcPr>
            <w:tcW w:type="dxa" w:w="12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2018</w:t>
            </w:r>
          </w:p>
        </w:tc>
        <w:tc>
          <w:tcPr>
            <w:tcW w:type="dxa" w:w="6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Шесть расчетных показателей</w:t>
            </w:r>
          </w:p>
        </w:tc>
      </w:tr>
      <w:tr>
        <w:tc>
          <w:tcPr>
            <w:tcW w:type="dxa" w:w="1960"/>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 года</w:t>
            </w:r>
          </w:p>
        </w:tc>
        <w:tc>
          <w:tcPr>
            <w:tcW w:type="dxa" w:w="12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2017</w:t>
            </w:r>
          </w:p>
        </w:tc>
        <w:tc>
          <w:tcPr>
            <w:tcW w:type="dxa" w:w="6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года</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2016</w:t>
            </w:r>
          </w:p>
        </w:tc>
        <w:tc>
          <w:tcPr>
            <w:tcW w:type="dxa" w:w="6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0"/>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 года</w:t>
            </w:r>
          </w:p>
        </w:tc>
        <w:tc>
          <w:tcPr>
            <w:tcW w:type="dxa" w:w="12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2015</w:t>
            </w:r>
          </w:p>
        </w:tc>
        <w:tc>
          <w:tcPr>
            <w:tcW w:type="dxa" w:w="6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Четыре расчетных показателя</w:t>
            </w:r>
          </w:p>
        </w:tc>
      </w:tr>
      <w:tr>
        <w:tc>
          <w:tcPr>
            <w:tcW w:type="dxa" w:w="1960"/>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 лет</w:t>
            </w:r>
          </w:p>
        </w:tc>
        <w:tc>
          <w:tcPr>
            <w:tcW w:type="dxa" w:w="12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2014</w:t>
            </w:r>
          </w:p>
        </w:tc>
        <w:tc>
          <w:tcPr>
            <w:tcW w:type="dxa" w:w="6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60"/>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 лет</w:t>
            </w:r>
          </w:p>
        </w:tc>
        <w:tc>
          <w:tcPr>
            <w:tcW w:type="dxa" w:w="12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2013</w:t>
            </w:r>
          </w:p>
        </w:tc>
        <w:tc>
          <w:tcPr>
            <w:tcW w:type="dxa" w:w="6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60"/>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 лет</w:t>
            </w:r>
          </w:p>
        </w:tc>
        <w:tc>
          <w:tcPr>
            <w:tcW w:type="dxa" w:w="12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2012</w:t>
            </w:r>
          </w:p>
        </w:tc>
        <w:tc>
          <w:tcPr>
            <w:tcW w:type="dxa" w:w="6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60"/>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8 лет</w:t>
            </w:r>
          </w:p>
        </w:tc>
        <w:tc>
          <w:tcPr>
            <w:tcW w:type="dxa" w:w="12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2011</w:t>
            </w:r>
          </w:p>
        </w:tc>
        <w:tc>
          <w:tcPr>
            <w:tcW w:type="dxa" w:w="6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60"/>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9 лет</w:t>
            </w:r>
          </w:p>
        </w:tc>
        <w:tc>
          <w:tcPr>
            <w:tcW w:type="dxa" w:w="12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2010</w:t>
            </w:r>
          </w:p>
        </w:tc>
        <w:tc>
          <w:tcPr>
            <w:tcW w:type="dxa" w:w="6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60"/>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10 лет</w:t>
            </w:r>
          </w:p>
        </w:tc>
        <w:tc>
          <w:tcPr>
            <w:tcW w:type="dxa" w:w="12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2009</w:t>
            </w:r>
          </w:p>
        </w:tc>
        <w:tc>
          <w:tcPr>
            <w:tcW w:type="dxa" w:w="6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60"/>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11-12 лет</w:t>
            </w:r>
          </w:p>
        </w:tc>
        <w:tc>
          <w:tcPr>
            <w:tcW w:type="dxa" w:w="12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2008-2007</w:t>
            </w:r>
          </w:p>
        </w:tc>
        <w:tc>
          <w:tcPr>
            <w:tcW w:type="dxa" w:w="6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 лет и более</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 и более</w:t>
            </w:r>
          </w:p>
        </w:tc>
        <w:tc>
          <w:tcPr>
            <w:tcW w:type="dxa" w:w="6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mdmx_indtxbmbur_gkkxt">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Временной инструкции о перемещении транспортных средств через таможенную границу Евразийского экономического союза в Кыргызской Республике физическими лицами для личного пользования</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69"/>
        <w:gridCol w:w="2323"/>
        <w:gridCol w:w="2223"/>
        <w:gridCol w:w="2270"/>
        <w:gridCol w:w="2193"/>
      </w:tblGrid>
      <w:tr>
        <w:tc>
          <w:tcPr>
            <w:tcW w:type="dxa" w:w="116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 момента выпуска прошло</w:t>
            </w:r>
          </w:p>
        </w:tc>
        <w:tc>
          <w:tcPr>
            <w:tcW w:type="dxa" w:w="2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Единая ставка таможенной пошлины и налогов в долларах США за один куб. см автотранспорта товарных субпозиций 8703 10, 8703 21, 8703 22, 8703 23, 8703 31, 8703 32</w:t>
            </w:r>
          </w:p>
        </w:tc>
        <w:tc>
          <w:tcPr>
            <w:tcW w:type="dxa" w:w="2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Единая ставка таможенной пошлины и налогов в долларах США за один куб. см автотранспорта товарных субпозиций 8703 24, 8703 33(*)</w:t>
            </w:r>
          </w:p>
        </w:tc>
        <w:tc>
          <w:tcPr>
            <w:tcW w:type="dxa" w:w="22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Единая ставка таможенной пошлины и налогов в долларах США за один куб. см автотранспорта товарных субпозиций 8703 40, 8703 50, 8703 60, 8703 70</w:t>
            </w:r>
          </w:p>
        </w:tc>
        <w:tc>
          <w:tcPr>
            <w:tcW w:type="dxa" w:w="21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Единая ставка таможенной пошлины и налогов в долларах США за один кВт/час автотранспорта товарных субпозиций 8703 80</w:t>
            </w:r>
          </w:p>
        </w:tc>
      </w:tr>
      <w:tr>
        <w:tc>
          <w:tcPr>
            <w:vMerge w:val="continue"/>
            <w:tcBorders>
              <w:top w:val="single" w:color="CBBF9E" w:sz="4"/>
              <w:left w:val="single" w:color="CBBF9E" w:sz="4"/>
              <w:bottom w:val="single" w:color="CBBF9E" w:sz="4"/>
              <w:right w:val="single" w:color="CBBF9E" w:sz="4"/>
            </w:tcBorders>
          </w:tcPr>
          <w:p/>
        </w:tc>
        <w:tc>
          <w:tcPr>
            <w:tcW w:type="dxa" w:w="23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2018-2019 годы(***)</w:t>
            </w:r>
          </w:p>
        </w:tc>
        <w:tc>
          <w:tcPr>
            <w:tcW w:type="dxa" w:w="22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2018-2019 годы(***)</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2018-2019 годы</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2018-2019 годы</w:t>
            </w:r>
          </w:p>
        </w:tc>
      </w:tr>
      <w:tr>
        <w:tc>
          <w:tcPr>
            <w:tcW w:type="dxa" w:w="11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год</w:t>
            </w:r>
          </w:p>
        </w:tc>
        <w:tc>
          <w:tcPr>
            <w:tcW w:type="dxa" w:w="2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1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года</w:t>
            </w:r>
          </w:p>
        </w:tc>
        <w:tc>
          <w:tcPr>
            <w:tcW w:type="dxa" w:w="2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1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года</w:t>
            </w:r>
          </w:p>
        </w:tc>
        <w:tc>
          <w:tcPr>
            <w:tcW w:type="dxa" w:w="2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1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 года</w:t>
            </w:r>
          </w:p>
        </w:tc>
        <w:tc>
          <w:tcPr>
            <w:tcW w:type="dxa" w:w="2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1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 лет</w:t>
            </w:r>
          </w:p>
        </w:tc>
        <w:tc>
          <w:tcPr>
            <w:tcW w:type="dxa" w:w="2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1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 лет</w:t>
            </w:r>
          </w:p>
        </w:tc>
        <w:tc>
          <w:tcPr>
            <w:tcW w:type="dxa" w:w="2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2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1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 лет</w:t>
            </w:r>
          </w:p>
        </w:tc>
        <w:tc>
          <w:tcPr>
            <w:tcW w:type="dxa" w:w="2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2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1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 лет</w:t>
            </w:r>
          </w:p>
        </w:tc>
        <w:tc>
          <w:tcPr>
            <w:tcW w:type="dxa" w:w="2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2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1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 лет</w:t>
            </w:r>
          </w:p>
        </w:tc>
        <w:tc>
          <w:tcPr>
            <w:tcW w:type="dxa" w:w="2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2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1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лет</w:t>
            </w:r>
          </w:p>
        </w:tc>
        <w:tc>
          <w:tcPr>
            <w:tcW w:type="dxa" w:w="2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2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1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 лет</w:t>
            </w:r>
          </w:p>
        </w:tc>
        <w:tc>
          <w:tcPr>
            <w:tcW w:type="dxa" w:w="2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2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1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 лет и более</w:t>
            </w:r>
          </w:p>
        </w:tc>
        <w:tc>
          <w:tcPr>
            <w:tcW w:type="dxa" w:w="2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120" w:before="120"/>
        <w:ind w:firstLine="567"/>
        <w:jc w:val="right"/>
      </w:pPr>
      <w:r>
        <w:rPr>
          <w:rFonts w:ascii="Arial" w:cs="Arial" w:eastAsia="Arial" w:hAnsi="Arial"/>
          <w:sz w:val="24"/>
          <w:szCs w:val="24"/>
        </w:rPr>
        <w:t xml:space="preserve">Таблица 2.2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 момента выпуска прошло</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Единая ставка таможенной пошлины и налогов в долларах США за один куб. см автотранспорта, независимо от страны происхождения(**)</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Не более 3 лет</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 лет</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Более 7 лет</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В настоящем приложении также указаны единые ставки таможенных пошлин и налогов на автотранспортные средства:</w:t>
      </w:r>
    </w:p>
    <w:p>
      <w:pPr>
        <w:spacing w:after="60"/>
        <w:ind w:firstLine="567"/>
        <w:jc w:val="both"/>
      </w:pPr>
      <w:r>
        <w:rPr>
          <w:rFonts w:ascii="Arial" w:cs="Arial" w:eastAsia="Arial" w:hAnsi="Arial"/>
          <w:sz w:val="24"/>
          <w:szCs w:val="24"/>
        </w:rPr>
        <w:t xml:space="preserve">(*) - моторные транспортные средства для перевозки не более 12 человек, включая водителя, классифицируемые в товарной позиции 8702 ТН ВЭД ЕАЭС; автотранспортные средства типа "PickUp", классифицируемые как в товарной позиции 8703, так и в товарной позиции 8704;</w:t>
      </w:r>
    </w:p>
    <w:p>
      <w:pPr>
        <w:spacing w:after="60"/>
        <w:ind w:firstLine="567"/>
        <w:jc w:val="both"/>
      </w:pPr>
      <w:r>
        <w:rPr>
          <w:rFonts w:ascii="Arial" w:cs="Arial" w:eastAsia="Arial" w:hAnsi="Arial"/>
          <w:sz w:val="24"/>
          <w:szCs w:val="24"/>
        </w:rPr>
        <w:t xml:space="preserve">(**) - автотранспортные средства для перевозки пассажиров, классифицируемые в товарной позиции 8702, за исключением моторных транспортных средств для перевозки не более 12 человек, включая водителя; транспортные средства для перевозки грузов, классифицируемые в товарной субпозиции 8704 21, 8704 31, за исключением автотранспортных средств типа "PickUp";</w:t>
      </w:r>
    </w:p>
    <w:p>
      <w:pPr>
        <w:spacing w:after="60"/>
        <w:ind w:firstLine="567"/>
        <w:jc w:val="both"/>
      </w:pPr>
      <w:r>
        <w:rPr>
          <w:rFonts w:ascii="Arial" w:cs="Arial" w:eastAsia="Arial" w:hAnsi="Arial"/>
          <w:sz w:val="24"/>
          <w:szCs w:val="24"/>
        </w:rPr>
        <w:t xml:space="preserve">(***) - единые ставки таможенных пошлин и налогов, установленные данными графами, применяются в отношении автотранспортных средств с повышенным радиационным фоном, ввезенных из Японии, прошедших дезактивацию, при наличии акта повторного радиационного обследования о непревышении радиационного фона. Уплата единой ставки таможенных пошлин и налогов осуществляется по единой ставке, исчисленной согласно данной графе. При этом для целей определения единой ставки таможенных пошлин и налогов, количество лет, прошедших с момента выпуска, считать на дату ввоза таких автотранспортных средств. Документом, подтверждающим дату ввоза автотранспортного средства с повышенным радиационным фоном, считать железнодорожную накладную.</w:t>
      </w:r>
    </w:p>
    <w:p>
      <w:pPr>
        <w:spacing w:after="60"/>
        <w:ind w:firstLine="567"/>
        <w:jc w:val="both"/>
      </w:pPr>
      <w:r>
        <w:rPr>
          <w:rFonts w:ascii="Arial" w:cs="Arial" w:eastAsia="Arial" w:hAnsi="Arial"/>
          <w:sz w:val="24"/>
          <w:szCs w:val="24"/>
        </w:rPr>
        <w:t xml:space="preserve">К примеру: если в железнодорожной накладной указана дата ввоза автотранспортного средства 01.01.2013 года, при этом годом выпуска такого автотранспортного средства является 2003 год, то для целей исчисления уплаты единой ставки таможенных пошлин и налогов будет считаться, что с момента выпуска прошло 11 лет, и ставка составляет 0,4 доллара за 1 куб. см.".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lwae3d4dhfny56ivjol">
      <w:r>
        <w:rPr>
          <w:rFonts w:ascii="Arial" w:cs="Arial" w:eastAsia="Arial" w:hAnsi="Arial"/>
          <w:color w:val="132D3F"/>
          <w:sz w:val="16"/>
          <w:szCs w:val="16"/>
          <w:u w:val="single"/>
        </w:rPr>
        <w:t xml:space="preserve">dalil.kg/document/11988</w:t>
      </w:r>
    </w:hyperlink>
  </w:p>
  <w:p>
    <w:pPr>
      <w:spacing w:after="0" w:before="40"/>
      <w:jc w:val="center"/>
    </w:pPr>
    <w:hyperlink w:history="1" r:id="rIdv73mr5m9xz2wfr31iypk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icwgc61krehuna_3blze" Type="http://schemas.openxmlformats.org/officeDocument/2006/relationships/hyperlink" Target="https://dalil.kg/document/230000286" TargetMode="External"/><Relationship Id="rIdjk6ldvxnvyfntxeveqnse" Type="http://schemas.openxmlformats.org/officeDocument/2006/relationships/hyperlink" Target="https://dalil.kg/document/203685" TargetMode="External"/><Relationship Id="rIdyibhwrfxlwykkne_rpqrq" Type="http://schemas.openxmlformats.org/officeDocument/2006/relationships/hyperlink" Target="https://dalil.kg/document/99065" TargetMode="External"/><Relationship Id="rIdesrmkhfnbbks9dd3sbkrq" Type="http://schemas.openxmlformats.org/officeDocument/2006/relationships/hyperlink" Target="https://dalil.kg/document/205436" TargetMode="External"/><Relationship Id="rIdrg-wutzx9aldqtpgtdoc3" Type="http://schemas.openxmlformats.org/officeDocument/2006/relationships/hyperlink" Target="https://dalil.kg/document/99067" TargetMode="External"/><Relationship Id="rId7wg_6b9mu_wtbqu3ue_do" Type="http://schemas.openxmlformats.org/officeDocument/2006/relationships/hyperlink" Target="https://dalil.kg/document/99065" TargetMode="External"/><Relationship Id="rIdp-00hvmic2fszessfxgr4" Type="http://schemas.openxmlformats.org/officeDocument/2006/relationships/hyperlink" Target="https://dalil.kg/document/99067#p1" TargetMode="External"/><Relationship Id="rIdd5o_by6k7fq3wjes8unjn" Type="http://schemas.openxmlformats.org/officeDocument/2006/relationships/hyperlink" Target="https://dalil.kg/document/99067#p2" TargetMode="External"/><Relationship Id="rId5oxwm_gy0tjrme1nm7emb" Type="http://schemas.openxmlformats.org/officeDocument/2006/relationships/hyperlink" Target="https://dalil.kg/document/11988#p1" TargetMode="External"/><Relationship Id="rId27asxqwsh_xcjuxu7dul2" Type="http://schemas.openxmlformats.org/officeDocument/2006/relationships/hyperlink" Target="https://dalil.kg/document/11988#p2" TargetMode="External"/><Relationship Id="rId0drf70iwp2um3-3fzbro7" Type="http://schemas.openxmlformats.org/officeDocument/2006/relationships/hyperlink" Target="https://dalil.kg/document/99067#p1" TargetMode="External"/><Relationship Id="rIdmdmx_indtxbmbur_gkkxt" Type="http://schemas.openxmlformats.org/officeDocument/2006/relationships/hyperlink" Target="https://dalil.kg/document/99067#p2"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lwae3d4dhfny56ivjol" Type="http://schemas.openxmlformats.org/officeDocument/2006/relationships/hyperlink" Target="https://dalil.kg/document/11988" TargetMode="External"/><Relationship Id="rIdv73mr5m9xz2wfr31iypk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2026-09-23T17:59:28.634Z</dcterms:created>
  <dcterms:modified xsi:type="dcterms:W3CDTF">2026-09-23T17:59:28.634Z</dcterms:modified>
</cp:coreProperties>
</file>

<file path=docProps/custom.xml><?xml version="1.0" encoding="utf-8"?>
<Properties xmlns="http://schemas.openxmlformats.org/officeDocument/2006/custom-properties" xmlns:vt="http://schemas.openxmlformats.org/officeDocument/2006/docPropsVTypes"/>
</file>