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i/>
          <w:iCs/>
          <w:sz w:val="24"/>
          <w:szCs w:val="24"/>
        </w:rPr>
        <w:t xml:space="preserve">УТРАТИЛО СИЛУ
 в соответствии с </w:t>
      </w:r>
      <w:hyperlink w:history="1" r:id="rIdref8oukzyda0ofuxvgpe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w:t>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3i9i9ube3mnfoyfuxapk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июля 2018 года № 357</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выдачи в налоговых органах патента на бумажном носителе либо в электронном формате</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abxdmrztuv3xlkenpiko3">
        <w:r>
          <w:rPr>
            <w:rFonts w:ascii="Arial" w:cs="Arial" w:eastAsia="Arial" w:hAnsi="Arial"/>
            <w:i/>
            <w:iCs/>
            <w:color w:val="1D4ED8"/>
            <w:sz w:val="24"/>
            <w:szCs w:val="24"/>
            <w:u w:val="single"/>
          </w:rPr>
          <w:t xml:space="preserve">22 апреля 2019 года № 188</w:t>
        </w:r>
      </w:hyperlink>
      <w:r>
        <w:rPr>
          <w:rFonts w:ascii="Arial" w:cs="Arial" w:eastAsia="Arial" w:hAnsi="Arial"/>
          <w:i/>
          <w:iCs/>
          <w:sz w:val="24"/>
          <w:szCs w:val="24"/>
        </w:rPr>
        <w:t xml:space="preserve">, </w:t>
      </w:r>
      <w:hyperlink w:history="1" r:id="rIdbbn9rkh0mcadb_fhr37qq">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 </w:t>
      </w:r>
      <w:hyperlink w:history="1" r:id="rIdgzzzvdj88wdany8xs-7cc">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 </w:t>
      </w:r>
      <w:hyperlink w:history="1" r:id="rIdhrelaz8m75fvqxzjdn2vr">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Настоящий Порядок разработан в соответствии с частью 2 </w:t>
      </w:r>
      <w:hyperlink w:history="1" r:id="rIdep4bu2rf5-fpoe1idrmvl">
        <w:r>
          <w:rPr>
            <w:rFonts w:ascii="Arial" w:cs="Arial" w:eastAsia="Arial" w:hAnsi="Arial"/>
            <w:color w:val="1D4ED8"/>
            <w:sz w:val="24"/>
            <w:szCs w:val="24"/>
            <w:u w:val="single"/>
          </w:rPr>
          <w:t xml:space="preserve">статьи 345</w:t>
        </w:r>
      </w:hyperlink>
      <w:r>
        <w:rPr>
          <w:rFonts w:ascii="Arial" w:cs="Arial" w:eastAsia="Arial" w:hAnsi="Arial"/>
          <w:sz w:val="24"/>
          <w:szCs w:val="24"/>
        </w:rPr>
        <w:t xml:space="preserve"> Налогового кодекса Кыргызской Республики, </w:t>
      </w:r>
      <w:hyperlink w:history="1" r:id="rIdeayta4wlewxk26ocvw4he">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Закона Кыргызской Республики "О государственном социальном страховании", статьями </w:t>
      </w:r>
      <w:hyperlink w:history="1" r:id="rIdpnjdu6sgfyihma59dny91">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z7s4jkyysnjsfakqtioaw">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и устанавливает порядок выдачи налогоплательщикам налоговыми органами добровольного, обязательного патента и патента на наемного работника, занятого в сфере деятельности, подлежащей обязательному патентированию или упрощенной системе налогообложения на основе налога с розничных продаж, в виде документа на бумажном носителе либо в электронном формате (электронный патент).</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e-8di1mf19jxuguofzgm3">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 </w:t>
      </w:r>
      <w:hyperlink w:history="1" r:id="rIdmt2b_lbqt6umpz6yzvslu">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 и понятия, используемые в настоящем Порядке</w:t>
      </w:r>
    </w:p>
    <w:p>
      <w:pPr>
        <w:spacing w:after="60"/>
        <w:ind w:firstLine="567"/>
        <w:jc w:val="both"/>
      </w:pPr>
      <w:r>
        <w:rPr>
          <w:rFonts w:ascii="Arial" w:cs="Arial" w:eastAsia="Arial" w:hAnsi="Arial"/>
          <w:sz w:val="24"/>
          <w:szCs w:val="24"/>
        </w:rPr>
        <w:t xml:space="preserve">1. Понятия, применяемые в настоящем Порядке:</w:t>
      </w:r>
    </w:p>
    <w:p>
      <w:pPr>
        <w:spacing w:after="60"/>
        <w:ind w:firstLine="567"/>
        <w:jc w:val="both"/>
      </w:pPr>
      <w:r>
        <w:rPr>
          <w:rFonts w:ascii="Arial" w:cs="Arial" w:eastAsia="Arial" w:hAnsi="Arial"/>
          <w:b/>
          <w:bCs/>
          <w:sz w:val="24"/>
          <w:szCs w:val="24"/>
        </w:rPr>
        <w:t xml:space="preserve">официальный веб-сайт уполномоченного налогового органа (далее - веб-сайт УНО)</w:t>
      </w:r>
      <w:r>
        <w:rPr>
          <w:rFonts w:ascii="Arial" w:cs="Arial" w:eastAsia="Arial" w:hAnsi="Arial"/>
          <w:sz w:val="24"/>
          <w:szCs w:val="24"/>
        </w:rPr>
        <w:t xml:space="preserve"> - электронный портал уполномоченного налогового органа для получения информации и электронных услуг, в том числе электронного патента;</w:t>
      </w:r>
    </w:p>
    <w:p>
      <w:pPr>
        <w:spacing w:after="60"/>
        <w:ind w:firstLine="567"/>
        <w:jc w:val="both"/>
      </w:pPr>
      <w:r>
        <w:rPr>
          <w:rFonts w:ascii="Arial" w:cs="Arial" w:eastAsia="Arial" w:hAnsi="Arial"/>
          <w:b/>
          <w:bCs/>
          <w:sz w:val="24"/>
          <w:szCs w:val="24"/>
        </w:rPr>
        <w:t xml:space="preserve">QR-код</w:t>
      </w:r>
      <w:r>
        <w:rPr>
          <w:rFonts w:ascii="Arial" w:cs="Arial" w:eastAsia="Arial" w:hAnsi="Arial"/>
          <w:sz w:val="24"/>
          <w:szCs w:val="24"/>
        </w:rPr>
        <w:t xml:space="preserve"> - матричный код (двумерный штрих код), содержащий информацию о патенте, созданный специально для распознавания мобильными устройствами;</w:t>
      </w:r>
    </w:p>
    <w:p>
      <w:pPr>
        <w:spacing w:after="60"/>
        <w:ind w:firstLine="567"/>
        <w:jc w:val="both"/>
      </w:pPr>
      <w:r>
        <w:rPr>
          <w:rFonts w:ascii="Arial" w:cs="Arial" w:eastAsia="Arial" w:hAnsi="Arial"/>
          <w:b/>
          <w:bCs/>
          <w:sz w:val="24"/>
          <w:szCs w:val="24"/>
        </w:rPr>
        <w:t xml:space="preserve">периферийные устройства</w:t>
      </w:r>
      <w:r>
        <w:rPr>
          <w:rFonts w:ascii="Arial" w:cs="Arial" w:eastAsia="Arial" w:hAnsi="Arial"/>
          <w:sz w:val="24"/>
          <w:szCs w:val="24"/>
        </w:rPr>
        <w:t xml:space="preserve"> - терминалы, банкоматы, автоматизированные терминалы самообслуживания, иные устройства, составляющие техническую инфраструктуру приема и обслуживания банковских платежных карт;</w:t>
      </w:r>
    </w:p>
    <w:p>
      <w:pPr>
        <w:spacing w:after="60"/>
        <w:ind w:firstLine="567"/>
        <w:jc w:val="both"/>
      </w:pPr>
      <w:r>
        <w:rPr>
          <w:rFonts w:ascii="Arial" w:cs="Arial" w:eastAsia="Arial" w:hAnsi="Arial"/>
          <w:b/>
          <w:bCs/>
          <w:sz w:val="24"/>
          <w:szCs w:val="24"/>
        </w:rPr>
        <w:t xml:space="preserve">электронный патент - </w:t>
      </w:r>
      <w:r>
        <w:rPr>
          <w:rFonts w:ascii="Arial" w:cs="Arial" w:eastAsia="Arial" w:hAnsi="Arial"/>
          <w:sz w:val="24"/>
          <w:szCs w:val="24"/>
        </w:rPr>
        <w:t xml:space="preserve">электронный документ, полученный через веб-сайт УНО, удостоверяющий право налогоплательщика на осуществление определенного вида деятельности, уплату налогов и страховых взносов и подтверждающий получение доходов в течение срока действия патента.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wpzkxmsbct3cqtmiy7qy">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Выдача патента на бумажном носителе</w:t>
      </w:r>
    </w:p>
    <w:p>
      <w:pPr>
        <w:spacing w:after="60"/>
        <w:ind w:firstLine="567"/>
        <w:jc w:val="both"/>
      </w:pPr>
      <w:r>
        <w:rPr>
          <w:rFonts w:ascii="Arial" w:cs="Arial" w:eastAsia="Arial" w:hAnsi="Arial"/>
          <w:sz w:val="24"/>
          <w:szCs w:val="24"/>
        </w:rPr>
        <w:t xml:space="preserve">2. При первоначальном приобретении патента налогоплательщик подает заявление, на котором ставит личную подпись, в территориальный налоговый орган по месту осуществления предпринимательской деятельности.</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 фотография размером 3x4 см (за исключением юридических лиц);</w:t>
      </w:r>
    </w:p>
    <w:p>
      <w:pPr>
        <w:spacing w:after="60"/>
        <w:ind w:firstLine="567"/>
        <w:jc w:val="both"/>
      </w:pPr>
      <w:r>
        <w:rPr>
          <w:rFonts w:ascii="Arial" w:cs="Arial" w:eastAsia="Arial" w:hAnsi="Arial"/>
          <w:sz w:val="24"/>
          <w:szCs w:val="24"/>
        </w:rPr>
        <w:t xml:space="preserve">- копия документа, удостоверяющего личность физического лица, с предъявлением оригинала (паспорт).</w:t>
      </w:r>
    </w:p>
    <w:p>
      <w:pPr>
        <w:spacing w:after="60"/>
        <w:ind w:firstLine="567"/>
        <w:jc w:val="both"/>
      </w:pPr>
      <w:r>
        <w:rPr>
          <w:rFonts w:ascii="Arial" w:cs="Arial" w:eastAsia="Arial" w:hAnsi="Arial"/>
          <w:sz w:val="24"/>
          <w:szCs w:val="24"/>
        </w:rPr>
        <w:t xml:space="preserve">При наличии наемных работников прилагается список работников, подписанный предпринимателем, с указанием фамилии, имени, отчества работников, за которых уплачен подоходный налог, их идентификационных номеров, даты выдачи и кем выдан паспорт (в 2-х экземплярах).</w:t>
      </w:r>
    </w:p>
    <w:p>
      <w:pPr>
        <w:spacing w:after="60"/>
        <w:ind w:firstLine="567"/>
        <w:jc w:val="both"/>
      </w:pPr>
      <w:r>
        <w:rPr>
          <w:rFonts w:ascii="Arial" w:cs="Arial" w:eastAsia="Arial" w:hAnsi="Arial"/>
          <w:sz w:val="24"/>
          <w:szCs w:val="24"/>
        </w:rPr>
        <w:t xml:space="preserve">Заявление юридического лица должно быть подписано руководителем или его заместителем и в обязательном порядке заверено печатью.</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46</w:t>
      </w:r>
      <w:hyperlink w:history="1" r:id="rId9csvblbyyavt8febynxq9">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патент может быть выдан налогоплательщику через его налогового представителя при наличии:</w:t>
      </w:r>
    </w:p>
    <w:p>
      <w:pPr>
        <w:spacing w:after="60"/>
        <w:ind w:firstLine="567"/>
        <w:jc w:val="both"/>
      </w:pPr>
      <w:r>
        <w:rPr>
          <w:rFonts w:ascii="Arial" w:cs="Arial" w:eastAsia="Arial" w:hAnsi="Arial"/>
          <w:sz w:val="24"/>
          <w:szCs w:val="24"/>
        </w:rPr>
        <w:t xml:space="preserve">- гражданско-правового договора, заключаемого между налогоплательщиком и налоговым представителем;</w:t>
      </w:r>
    </w:p>
    <w:p>
      <w:pPr>
        <w:spacing w:after="60"/>
        <w:ind w:firstLine="567"/>
        <w:jc w:val="both"/>
      </w:pPr>
      <w:r>
        <w:rPr>
          <w:rFonts w:ascii="Arial" w:cs="Arial" w:eastAsia="Arial" w:hAnsi="Arial"/>
          <w:sz w:val="24"/>
          <w:szCs w:val="24"/>
        </w:rPr>
        <w:t xml:space="preserve">- доверенности, выдаваемой налогоплательщиком налоговому представителю.</w:t>
      </w:r>
    </w:p>
    <w:p>
      <w:pPr>
        <w:spacing w:after="60"/>
        <w:ind w:firstLine="567"/>
        <w:jc w:val="both"/>
      </w:pPr>
      <w:r>
        <w:rPr>
          <w:rFonts w:ascii="Arial" w:cs="Arial" w:eastAsia="Arial" w:hAnsi="Arial"/>
          <w:sz w:val="24"/>
          <w:szCs w:val="24"/>
        </w:rPr>
        <w:t xml:space="preserve">3. Территориальный налоговый орган в однодневный срок со дня поступления заявления рассматривает его и выносит решение о выдаче либо отказе в выдаче патента посредством автоматизированной информационной системы налогового органа. Отказ в выдаче патента налоговым органом производится с обоснованием причины отказа в случае:</w:t>
      </w:r>
    </w:p>
    <w:p>
      <w:pPr>
        <w:spacing w:after="60"/>
        <w:ind w:firstLine="567"/>
        <w:jc w:val="both"/>
      </w:pPr>
      <w:r>
        <w:rPr>
          <w:rFonts w:ascii="Arial" w:cs="Arial" w:eastAsia="Arial" w:hAnsi="Arial"/>
          <w:sz w:val="24"/>
          <w:szCs w:val="24"/>
        </w:rPr>
        <w:t xml:space="preserve">- несоответствия вида деятельности утвержденному перечню видов деятельности, осуществляемых на патентной основе;</w:t>
      </w:r>
    </w:p>
    <w:p>
      <w:pPr>
        <w:spacing w:after="60"/>
        <w:ind w:firstLine="567"/>
        <w:jc w:val="both"/>
      </w:pPr>
      <w:r>
        <w:rPr>
          <w:rFonts w:ascii="Arial" w:cs="Arial" w:eastAsia="Arial" w:hAnsi="Arial"/>
          <w:sz w:val="24"/>
          <w:szCs w:val="24"/>
        </w:rPr>
        <w:t xml:space="preserve">- отсутствия документа, удостоверяющего личность физического лица и ИНН (за исключением ИНН наемного работника);</w:t>
      </w:r>
    </w:p>
    <w:p>
      <w:pPr>
        <w:spacing w:after="60"/>
        <w:ind w:firstLine="567"/>
        <w:jc w:val="both"/>
      </w:pPr>
      <w:r>
        <w:rPr>
          <w:rFonts w:ascii="Arial" w:cs="Arial" w:eastAsia="Arial" w:hAnsi="Arial"/>
          <w:sz w:val="24"/>
          <w:szCs w:val="24"/>
        </w:rPr>
        <w:t xml:space="preserve">- отсутствия на заявлении подписи руководителя или его заместителя и печати юридического лица;</w:t>
      </w:r>
    </w:p>
    <w:p>
      <w:pPr>
        <w:spacing w:after="60"/>
        <w:ind w:firstLine="567"/>
        <w:jc w:val="both"/>
      </w:pPr>
      <w:r>
        <w:rPr>
          <w:rFonts w:ascii="Arial" w:cs="Arial" w:eastAsia="Arial" w:hAnsi="Arial"/>
          <w:sz w:val="24"/>
          <w:szCs w:val="24"/>
        </w:rPr>
        <w:t xml:space="preserve">- неполного внесения суммы налога (за каждый отдельный вид деятельности на определенный срок);</w:t>
      </w:r>
    </w:p>
    <w:p>
      <w:pPr>
        <w:spacing w:after="60"/>
        <w:ind w:firstLine="567"/>
        <w:jc w:val="both"/>
      </w:pPr>
      <w:r>
        <w:rPr>
          <w:rFonts w:ascii="Arial" w:cs="Arial" w:eastAsia="Arial" w:hAnsi="Arial"/>
          <w:sz w:val="24"/>
          <w:szCs w:val="24"/>
        </w:rPr>
        <w:t xml:space="preserve">- указания недостоверных или искаженных сведений в заявлении;</w:t>
      </w:r>
    </w:p>
    <w:p>
      <w:pPr>
        <w:spacing w:after="60"/>
        <w:ind w:firstLine="567"/>
        <w:jc w:val="both"/>
      </w:pPr>
      <w:r>
        <w:rPr>
          <w:rFonts w:ascii="Arial" w:cs="Arial" w:eastAsia="Arial" w:hAnsi="Arial"/>
          <w:sz w:val="24"/>
          <w:szCs w:val="24"/>
        </w:rPr>
        <w:t xml:space="preserve">- наличия подтвержденного факта осуществления импорта товаров, за исключением субъектов швейной и текстильной отрасли;</w:t>
      </w:r>
    </w:p>
    <w:p>
      <w:pPr>
        <w:spacing w:after="60"/>
        <w:ind w:firstLine="567"/>
        <w:jc w:val="both"/>
      </w:pPr>
      <w:r>
        <w:rPr>
          <w:rFonts w:ascii="Arial" w:cs="Arial" w:eastAsia="Arial" w:hAnsi="Arial"/>
          <w:sz w:val="24"/>
          <w:szCs w:val="24"/>
        </w:rPr>
        <w:t xml:space="preserve">- невнесения или внесения неполной суммы страховых взносов за периоды с аналогичным сроком действия получаемых патентов, за исключением пенсионеров и инвалидов I и II группы;</w:t>
      </w:r>
    </w:p>
    <w:p>
      <w:pPr>
        <w:spacing w:after="60"/>
        <w:ind w:firstLine="567"/>
        <w:jc w:val="both"/>
      </w:pPr>
      <w:r>
        <w:rPr>
          <w:rFonts w:ascii="Arial" w:cs="Arial" w:eastAsia="Arial" w:hAnsi="Arial"/>
          <w:sz w:val="24"/>
          <w:szCs w:val="24"/>
        </w:rPr>
        <w:t xml:space="preserve">- превышения регистрационного порога по НДС налогоплательщиком, осуществляющим деятельность на основе добровольного патента.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nbt80pr1dj_i5wavjme-j">
        <w:r>
          <w:rPr>
            <w:rFonts w:ascii="Arial" w:cs="Arial" w:eastAsia="Arial" w:hAnsi="Arial"/>
            <w:i/>
            <w:iCs/>
            <w:color w:val="1D4ED8"/>
            <w:sz w:val="24"/>
            <w:szCs w:val="24"/>
            <w:u w:val="single"/>
          </w:rPr>
          <w:t xml:space="preserve">22 апреля 2019 года № 188</w:t>
        </w:r>
      </w:hyperlink>
      <w:r>
        <w:rPr>
          <w:rFonts w:ascii="Arial" w:cs="Arial" w:eastAsia="Arial" w:hAnsi="Arial"/>
          <w:i/>
          <w:iCs/>
          <w:sz w:val="24"/>
          <w:szCs w:val="24"/>
        </w:rPr>
        <w:t xml:space="preserve">, </w:t>
      </w:r>
      <w:hyperlink w:history="1" r:id="rIdfgn-2s2qto_56ktl8xthd">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Уплата налога производится до начала осуществления деятельности в соответствии с частями 5 и 6 </w:t>
      </w:r>
      <w:r>
        <w:rPr>
          <w:rFonts w:ascii="Arial" w:cs="Arial" w:eastAsia="Arial" w:hAnsi="Arial"/>
          <w:sz w:val="24"/>
          <w:szCs w:val="24"/>
        </w:rPr>
        <w:t xml:space="preserve">статьи 345</w:t>
      </w:r>
      <w:hyperlink w:history="1" r:id="rIdfjwguodochkfxhdpo1wko">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5. При оформлении патента должностное лицо налогового органа обязано разборчиво заполнить все графы бланка патента и корешок патента, наклеить фотографию на патент.</w:t>
      </w:r>
    </w:p>
    <w:p>
      <w:pPr>
        <w:spacing w:after="60"/>
        <w:ind w:firstLine="567"/>
        <w:jc w:val="both"/>
      </w:pPr>
      <w:r>
        <w:rPr>
          <w:rFonts w:ascii="Arial" w:cs="Arial" w:eastAsia="Arial" w:hAnsi="Arial"/>
          <w:sz w:val="24"/>
          <w:szCs w:val="24"/>
        </w:rPr>
        <w:t xml:space="preserve">Должностным лицом налогового органа при выдаче добровольного патента и патента на наемного работника в обязательном порядке указывается его фамилия и инициалы, ставится личная подпись и заверяется соответствующей печатью налогового органа.</w:t>
      </w:r>
    </w:p>
    <w:p>
      <w:pPr>
        <w:spacing w:after="60"/>
        <w:ind w:firstLine="567"/>
        <w:jc w:val="both"/>
      </w:pPr>
      <w:r>
        <w:rPr>
          <w:rFonts w:ascii="Arial" w:cs="Arial" w:eastAsia="Arial" w:hAnsi="Arial"/>
          <w:sz w:val="24"/>
          <w:szCs w:val="24"/>
        </w:rPr>
        <w:t xml:space="preserve">Обязательный патент подписывается руководителем территориального налогового органа или его заместителем с указанием фамилии и инициала и заверяется печатью налогового органа.</w:t>
      </w:r>
    </w:p>
    <w:p>
      <w:pPr>
        <w:spacing w:after="60"/>
        <w:ind w:firstLine="567"/>
        <w:jc w:val="both"/>
      </w:pPr>
      <w:r>
        <w:rPr>
          <w:rFonts w:ascii="Arial" w:cs="Arial" w:eastAsia="Arial" w:hAnsi="Arial"/>
          <w:sz w:val="24"/>
          <w:szCs w:val="24"/>
        </w:rPr>
        <w:t xml:space="preserve">6. Решение о выдаче либо отказе в выдаче патента должностным лицом налогового органа производится через соответствующий модуль автоматизированной информационной системы налогового органа.</w:t>
      </w:r>
    </w:p>
    <w:p>
      <w:pPr>
        <w:spacing w:after="60"/>
        <w:ind w:firstLine="567"/>
        <w:jc w:val="both"/>
      </w:pPr>
      <w:r>
        <w:rPr>
          <w:rFonts w:ascii="Arial" w:cs="Arial" w:eastAsia="Arial" w:hAnsi="Arial"/>
          <w:sz w:val="24"/>
          <w:szCs w:val="24"/>
        </w:rPr>
        <w:t xml:space="preserve">При положительном решении автоматизированная система присваивает серию и номер патента. После сотрудником территориального налогового органа выписывается патент в бумажной форме.</w:t>
      </w:r>
    </w:p>
    <w:p>
      <w:pPr>
        <w:spacing w:after="60"/>
        <w:ind w:firstLine="567"/>
        <w:jc w:val="both"/>
      </w:pPr>
      <w:r>
        <w:rPr>
          <w:rFonts w:ascii="Arial" w:cs="Arial" w:eastAsia="Arial" w:hAnsi="Arial"/>
          <w:sz w:val="24"/>
          <w:szCs w:val="24"/>
        </w:rPr>
        <w:t xml:space="preserve">Корешки патентов хранятся в металлическом сейфе, установленном в налоговом органе, выдавшим патент.</w:t>
      </w:r>
    </w:p>
    <w:p>
      <w:pPr>
        <w:spacing w:after="60"/>
        <w:ind w:firstLine="567"/>
        <w:jc w:val="both"/>
      </w:pPr>
      <w:r>
        <w:rPr>
          <w:rFonts w:ascii="Arial" w:cs="Arial" w:eastAsia="Arial" w:hAnsi="Arial"/>
          <w:sz w:val="24"/>
          <w:szCs w:val="24"/>
        </w:rPr>
        <w:t xml:space="preserve">7. Патент считается действительным:</w:t>
      </w:r>
    </w:p>
    <w:p>
      <w:pPr>
        <w:spacing w:after="60"/>
        <w:ind w:firstLine="567"/>
        <w:jc w:val="both"/>
      </w:pPr>
      <w:r>
        <w:rPr>
          <w:rFonts w:ascii="Arial" w:cs="Arial" w:eastAsia="Arial" w:hAnsi="Arial"/>
          <w:sz w:val="24"/>
          <w:szCs w:val="24"/>
        </w:rPr>
        <w:t xml:space="preserve">- при наличии печати и подписи руководителя (налогового инспектора) налогового органа в течение срока и на виды предпринимательской деятельности, указанные в патенте;</w:t>
      </w:r>
    </w:p>
    <w:p>
      <w:pPr>
        <w:spacing w:after="60"/>
        <w:ind w:firstLine="567"/>
        <w:jc w:val="both"/>
      </w:pPr>
      <w:r>
        <w:rPr>
          <w:rFonts w:ascii="Arial" w:cs="Arial" w:eastAsia="Arial" w:hAnsi="Arial"/>
          <w:sz w:val="24"/>
          <w:szCs w:val="24"/>
        </w:rPr>
        <w:t xml:space="preserve">- для налогоплательщика, на имя (наименование) которого выдан патент;</w:t>
      </w:r>
    </w:p>
    <w:p>
      <w:pPr>
        <w:spacing w:after="60"/>
        <w:ind w:firstLine="567"/>
        <w:jc w:val="both"/>
      </w:pPr>
      <w:r>
        <w:rPr>
          <w:rFonts w:ascii="Arial" w:cs="Arial" w:eastAsia="Arial" w:hAnsi="Arial"/>
          <w:sz w:val="24"/>
          <w:szCs w:val="24"/>
        </w:rPr>
        <w:t xml:space="preserve">- на территории района (города), где получен патент, за исключением деятельности налогоплательщиков по перевозке пассажиров и грузов на территории Кыргызской Республики;</w:t>
      </w:r>
    </w:p>
    <w:p>
      <w:pPr>
        <w:spacing w:after="60"/>
        <w:ind w:firstLine="567"/>
        <w:jc w:val="both"/>
      </w:pPr>
      <w:r>
        <w:rPr>
          <w:rFonts w:ascii="Arial" w:cs="Arial" w:eastAsia="Arial" w:hAnsi="Arial"/>
          <w:sz w:val="24"/>
          <w:szCs w:val="24"/>
        </w:rPr>
        <w:t xml:space="preserve">- при предъявлении документа, удостоверяющего личность (за исключением юридических лиц);</w:t>
      </w:r>
    </w:p>
    <w:p>
      <w:pPr>
        <w:spacing w:after="60"/>
        <w:ind w:firstLine="567"/>
        <w:jc w:val="both"/>
      </w:pPr>
      <w:r>
        <w:rPr>
          <w:rFonts w:ascii="Arial" w:cs="Arial" w:eastAsia="Arial" w:hAnsi="Arial"/>
          <w:sz w:val="24"/>
          <w:szCs w:val="24"/>
        </w:rPr>
        <w:t xml:space="preserve">- при наличии квитанций об уплате налога на основе патента и страхового взноса.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86wn7vf9jodvpudjssoz">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При утрате патента, выданного на бумажном носителе, налоговым органом выдается дубликат. В этом случае на оставшийся налоговый период налогоплательщику выдается новый патент с отметкой "взамен утраченного".</w:t>
      </w:r>
    </w:p>
    <w:p>
      <w:pPr>
        <w:spacing w:after="200" w:before="200"/>
        <w:jc w:val="center"/>
      </w:pPr>
      <w:r>
        <w:rPr>
          <w:rFonts w:ascii="Arial" w:cs="Arial" w:eastAsia="Arial" w:hAnsi="Arial"/>
          <w:b/>
          <w:bCs/>
          <w:sz w:val="24"/>
          <w:szCs w:val="24"/>
        </w:rPr>
        <w:t xml:space="preserve">3. Получение патента в электронном формате</w:t>
      </w:r>
    </w:p>
    <w:p>
      <w:pPr>
        <w:spacing w:after="60"/>
        <w:ind w:firstLine="567"/>
        <w:jc w:val="both"/>
      </w:pPr>
      <w:r>
        <w:rPr>
          <w:rFonts w:ascii="Arial" w:cs="Arial" w:eastAsia="Arial" w:hAnsi="Arial"/>
          <w:sz w:val="24"/>
          <w:szCs w:val="24"/>
        </w:rPr>
        <w:t xml:space="preserve">9. Для получения электронного патента налогоплательщику необходимо:</w:t>
      </w:r>
    </w:p>
    <w:p>
      <w:pPr>
        <w:spacing w:after="60"/>
        <w:ind w:firstLine="567"/>
        <w:jc w:val="both"/>
      </w:pPr>
      <w:r>
        <w:rPr>
          <w:rFonts w:ascii="Arial" w:cs="Arial" w:eastAsia="Arial" w:hAnsi="Arial"/>
          <w:sz w:val="24"/>
          <w:szCs w:val="24"/>
        </w:rPr>
        <w:t xml:space="preserve">- иметь налоговую или учетную регистрацию в налоговом органе по месту жительства и/или по месту осуществления предпринимательской деятельности;</w:t>
      </w:r>
    </w:p>
    <w:p>
      <w:pPr>
        <w:spacing w:after="60"/>
        <w:ind w:firstLine="567"/>
        <w:jc w:val="both"/>
      </w:pPr>
      <w:r>
        <w:rPr>
          <w:rFonts w:ascii="Arial" w:cs="Arial" w:eastAsia="Arial" w:hAnsi="Arial"/>
          <w:sz w:val="24"/>
          <w:szCs w:val="24"/>
        </w:rPr>
        <w:t xml:space="preserve">- иметь простую электронную подпись (логин), получаемую в территориальном налоговом органе по месту регистрации, или усиленную квалифицированную электронную подпись (ID-карта) для получения доступа в автоматизированную информационную систему уполномоченного налогового органа (далее - АИС УНО) через веб-сайт УНО;</w:t>
      </w:r>
    </w:p>
    <w:p>
      <w:pPr>
        <w:spacing w:after="60"/>
        <w:ind w:firstLine="567"/>
        <w:jc w:val="both"/>
      </w:pPr>
      <w:r>
        <w:rPr>
          <w:rFonts w:ascii="Arial" w:cs="Arial" w:eastAsia="Arial" w:hAnsi="Arial"/>
          <w:sz w:val="24"/>
          <w:szCs w:val="24"/>
        </w:rPr>
        <w:t xml:space="preserve">- в зависимости от вида деятельности произвести уплату суммы налога и страхового взноса методом оплаты, указанной в пункте 10 настоящего Порядка.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a8eymqvwg4hrl7sgmscw">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Сумма налога и страхового взноса может вноситься налогоплательщиком в наличной и безналичных формах через учреждение банка, периферийные устройства, POS-терминал, электронный кошелек, интернет и/или мобильный банкинг.</w:t>
      </w:r>
    </w:p>
    <w:p>
      <w:pPr>
        <w:spacing w:after="60"/>
        <w:ind w:firstLine="567"/>
        <w:jc w:val="both"/>
      </w:pPr>
      <w:r>
        <w:rPr>
          <w:rFonts w:ascii="Arial" w:cs="Arial" w:eastAsia="Arial" w:hAnsi="Arial"/>
          <w:sz w:val="24"/>
          <w:szCs w:val="24"/>
        </w:rPr>
        <w:t xml:space="preserve">Факт уплаты налогоплательщиком суммы налога и страхового взноса проверяется в АИС УНО. Налогоплательщик может проверить факт уплаты налога и страхового взноса в разделе "Поиск чека по уплате налога и страхового взноса" на веб-сайте УНО.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cl7qxxv5xmcpn1wpcwf8">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Для получения электронного патента налогоплательщик, имеющий электронную подпись, указанную в пункте 9 настоящего Порядка, заполняет в АИС УНО заявление на получение электронного патента с указанием:</w:t>
      </w:r>
    </w:p>
    <w:p>
      <w:pPr>
        <w:spacing w:after="60"/>
        <w:ind w:firstLine="567"/>
        <w:jc w:val="both"/>
      </w:pPr>
      <w:r>
        <w:rPr>
          <w:rFonts w:ascii="Arial" w:cs="Arial" w:eastAsia="Arial" w:hAnsi="Arial"/>
          <w:sz w:val="24"/>
          <w:szCs w:val="24"/>
        </w:rPr>
        <w:t xml:space="preserve">- вида патента («Добровольный патент», «Обязательный патент», «Патент на наемного работника, занятого в сфере деятельности, подлежащей обязательному патентированию или упрощенной системе налогообложения на основе налога с розничных продаж», «Патент на наемного работника, занятого в сфере деятельности, подлежащей добровольному патентированию»);</w:t>
      </w:r>
    </w:p>
    <w:p>
      <w:pPr>
        <w:spacing w:after="60"/>
        <w:ind w:firstLine="567"/>
        <w:jc w:val="both"/>
      </w:pPr>
      <w:r>
        <w:rPr>
          <w:rFonts w:ascii="Arial" w:cs="Arial" w:eastAsia="Arial" w:hAnsi="Arial"/>
          <w:sz w:val="24"/>
          <w:szCs w:val="24"/>
        </w:rPr>
        <w:t xml:space="preserve">- наименования территориального налогового органа по месту осуществления деятельности;</w:t>
      </w:r>
    </w:p>
    <w:p>
      <w:pPr>
        <w:spacing w:after="60"/>
        <w:ind w:firstLine="567"/>
        <w:jc w:val="both"/>
      </w:pPr>
      <w:r>
        <w:rPr>
          <w:rFonts w:ascii="Arial" w:cs="Arial" w:eastAsia="Arial" w:hAnsi="Arial"/>
          <w:sz w:val="24"/>
          <w:szCs w:val="24"/>
        </w:rPr>
        <w:t xml:space="preserve">- вида деятельности;</w:t>
      </w:r>
    </w:p>
    <w:p>
      <w:pPr>
        <w:spacing w:after="60"/>
        <w:ind w:firstLine="567"/>
        <w:jc w:val="both"/>
      </w:pPr>
      <w:r>
        <w:rPr>
          <w:rFonts w:ascii="Arial" w:cs="Arial" w:eastAsia="Arial" w:hAnsi="Arial"/>
          <w:sz w:val="24"/>
          <w:szCs w:val="24"/>
        </w:rPr>
        <w:t xml:space="preserve">- адреса осуществления деятельности;</w:t>
      </w:r>
    </w:p>
    <w:p>
      <w:pPr>
        <w:spacing w:after="60"/>
        <w:ind w:firstLine="567"/>
        <w:jc w:val="both"/>
      </w:pPr>
      <w:r>
        <w:rPr>
          <w:rFonts w:ascii="Arial" w:cs="Arial" w:eastAsia="Arial" w:hAnsi="Arial"/>
          <w:sz w:val="24"/>
          <w:szCs w:val="24"/>
        </w:rPr>
        <w:t xml:space="preserve">- наименования объекта;</w:t>
      </w:r>
    </w:p>
    <w:p>
      <w:pPr>
        <w:spacing w:after="60"/>
        <w:ind w:firstLine="567"/>
        <w:jc w:val="both"/>
      </w:pPr>
      <w:r>
        <w:rPr>
          <w:rFonts w:ascii="Arial" w:cs="Arial" w:eastAsia="Arial" w:hAnsi="Arial"/>
          <w:sz w:val="24"/>
          <w:szCs w:val="24"/>
        </w:rPr>
        <w:t xml:space="preserve">- срока действия патента;</w:t>
      </w:r>
    </w:p>
    <w:p>
      <w:pPr>
        <w:spacing w:after="60"/>
        <w:ind w:firstLine="567"/>
        <w:jc w:val="both"/>
      </w:pPr>
      <w:r>
        <w:rPr>
          <w:rFonts w:ascii="Arial" w:cs="Arial" w:eastAsia="Arial" w:hAnsi="Arial"/>
          <w:sz w:val="24"/>
          <w:szCs w:val="24"/>
        </w:rPr>
        <w:t xml:space="preserve">- статуса "пенсионер", "инвалид I группы" или "инвалид II группы" в случае, если налогоплательщик является пенсионером или инвалидом I и II группы.</w:t>
      </w:r>
    </w:p>
    <w:p>
      <w:pPr>
        <w:spacing w:after="60"/>
        <w:ind w:firstLine="567"/>
        <w:jc w:val="both"/>
      </w:pPr>
      <w:r>
        <w:rPr>
          <w:rFonts w:ascii="Arial" w:cs="Arial" w:eastAsia="Arial" w:hAnsi="Arial"/>
          <w:sz w:val="24"/>
          <w:szCs w:val="24"/>
        </w:rPr>
        <w:t xml:space="preserve">Идентификационный налоговый номер, ФИО индивидуального предпринимателя или наименование юридического лица, адрес места жительства индивидуального предпринимателя (для юридических лиц - юридический адрес) АИС УНО формирует автоматически.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s0tsolfmndf3qanykxbyu">
        <w:r>
          <w:rPr>
            <w:rFonts w:ascii="Arial" w:cs="Arial" w:eastAsia="Arial" w:hAnsi="Arial"/>
            <w:i/>
            <w:iCs/>
            <w:color w:val="1D4ED8"/>
            <w:sz w:val="24"/>
            <w:szCs w:val="24"/>
            <w:u w:val="single"/>
          </w:rPr>
          <w:t xml:space="preserve">22 апреля 2019 года № 188</w:t>
        </w:r>
      </w:hyperlink>
      <w:r>
        <w:rPr>
          <w:rFonts w:ascii="Arial" w:cs="Arial" w:eastAsia="Arial" w:hAnsi="Arial"/>
          <w:i/>
          <w:iCs/>
          <w:sz w:val="24"/>
          <w:szCs w:val="24"/>
        </w:rPr>
        <w:t xml:space="preserve">, </w:t>
      </w:r>
      <w:hyperlink w:history="1" r:id="rIdpcarrr36ujnsafvfwfbk8">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 </w:t>
      </w:r>
      <w:hyperlink w:history="1" r:id="rIdiw1rqtqbbppwajlgykbms">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В случае обращения налогоплательщика в территориальный налоговый орган о выдаче ему электронного патента, территориальный налоговый орган выдает электронный патент данному налогоплательщику.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wrdjhgkpsnfyjr7aatcm">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Сумма налога по патенту и сумма страхового взноса в зависимости от вида деятельности, срока действия патента и физических показателей формируются автоматически.</w:t>
      </w:r>
    </w:p>
    <w:p>
      <w:pPr>
        <w:spacing w:after="60"/>
        <w:ind w:firstLine="567"/>
        <w:jc w:val="both"/>
      </w:pPr>
      <w:r>
        <w:rPr>
          <w:rFonts w:ascii="Arial" w:cs="Arial" w:eastAsia="Arial" w:hAnsi="Arial"/>
          <w:sz w:val="24"/>
          <w:szCs w:val="24"/>
        </w:rPr>
        <w:t xml:space="preserve">Для проведения оплаты налогоплательщик выбирает форму оплаты (наличная или безналичная) и производит оплату.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nhn-22gqkuvnhrucbmd1">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 случае подтверждения АИС УНО проведения оплаты суммы налога, суммы страхового взноса и правильного заполнения заявления, АИС УНО формируется соответствующий электронный патент.</w:t>
      </w:r>
    </w:p>
    <w:p>
      <w:pPr>
        <w:spacing w:after="60"/>
        <w:ind w:firstLine="567"/>
        <w:jc w:val="both"/>
      </w:pPr>
      <w:r>
        <w:rPr>
          <w:rFonts w:ascii="Arial" w:cs="Arial" w:eastAsia="Arial" w:hAnsi="Arial"/>
          <w:sz w:val="24"/>
          <w:szCs w:val="24"/>
        </w:rPr>
        <w:t xml:space="preserve">При неподтверждении уплаты суммы налога и/или неполного заполнения показателей всех граф заявления электронный патент не формируется. При этом налогоплательщик может внести поправки в заявление.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b63ffnwx2hyh5aksaupx">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В случае, если налогоплательщик является пенсионером или инвалидом I и II группы, в ячейке 140 электронного патента отображается статус "пенсионер", "инвалид I группы" или "инвалид II группы". При этом информация о страховом взносе отображается с нулевыми показателями.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5mf1aiz4t5tdsmdqpwfh">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АИС УНО автоматически присваивает электронному патенту сквозной уникальный номер и QR-код.</w:t>
      </w:r>
    </w:p>
    <w:p>
      <w:pPr>
        <w:spacing w:after="60"/>
        <w:ind w:firstLine="567"/>
        <w:jc w:val="both"/>
      </w:pPr>
      <w:r>
        <w:rPr>
          <w:rFonts w:ascii="Arial" w:cs="Arial" w:eastAsia="Arial" w:hAnsi="Arial"/>
          <w:sz w:val="24"/>
          <w:szCs w:val="24"/>
        </w:rPr>
        <w:t xml:space="preserve">15. В целях подтверждения факта получения электронного патента налогоплательщик должен распечатать бумажную копию электронного патента и при необходимости предъявлять его с документом, удостоверяющим личность налогоплательщика, или со свидетельством о государственной регистрации юридического лица.</w:t>
      </w:r>
    </w:p>
    <w:p>
      <w:pPr>
        <w:spacing w:after="60"/>
        <w:ind w:firstLine="567"/>
        <w:jc w:val="both"/>
      </w:pPr>
      <w:r>
        <w:rPr>
          <w:rFonts w:ascii="Arial" w:cs="Arial" w:eastAsia="Arial" w:hAnsi="Arial"/>
          <w:sz w:val="24"/>
          <w:szCs w:val="24"/>
        </w:rPr>
        <w:t xml:space="preserve">16. Достоверность бумажной копии электронного патента может быть проверена путем сканирования QR-кода, нанесенного на электронный патент, посредством мобильного устройства (Android), имеющего соответствующее мобильное приложение.</w:t>
      </w:r>
    </w:p>
    <w:p>
      <w:pPr>
        <w:spacing w:after="60"/>
        <w:ind w:firstLine="567"/>
        <w:jc w:val="both"/>
      </w:pPr>
      <w:r>
        <w:rPr>
          <w:rFonts w:ascii="Arial" w:cs="Arial" w:eastAsia="Arial" w:hAnsi="Arial"/>
          <w:sz w:val="24"/>
          <w:szCs w:val="24"/>
        </w:rPr>
        <w:t xml:space="preserve">17. В случае порчи или утери бумажной копии электронного патента налогоплательщик может повторно распечатать патент через веб-сайт УНО.</w:t>
      </w:r>
    </w:p>
    <w:p>
      <w:pPr>
        <w:spacing w:after="60"/>
        <w:ind w:firstLine="567"/>
        <w:jc w:val="both"/>
      </w:pPr>
      <w:r>
        <w:rPr>
          <w:rFonts w:ascii="Arial" w:cs="Arial" w:eastAsia="Arial" w:hAnsi="Arial"/>
          <w:sz w:val="24"/>
          <w:szCs w:val="24"/>
        </w:rPr>
        <w:t xml:space="preserve">18. Электронный патент считается действительным:</w:t>
      </w:r>
    </w:p>
    <w:p>
      <w:pPr>
        <w:spacing w:after="60"/>
        <w:ind w:firstLine="567"/>
        <w:jc w:val="both"/>
      </w:pPr>
      <w:r>
        <w:rPr>
          <w:rFonts w:ascii="Arial" w:cs="Arial" w:eastAsia="Arial" w:hAnsi="Arial"/>
          <w:sz w:val="24"/>
          <w:szCs w:val="24"/>
        </w:rPr>
        <w:t xml:space="preserve">- при наличии сквозного уникального номера, QR-кода и соответствующей информации в АИС УНО;</w:t>
      </w:r>
    </w:p>
    <w:p>
      <w:pPr>
        <w:spacing w:after="60"/>
        <w:ind w:firstLine="567"/>
        <w:jc w:val="both"/>
      </w:pPr>
      <w:r>
        <w:rPr>
          <w:rFonts w:ascii="Arial" w:cs="Arial" w:eastAsia="Arial" w:hAnsi="Arial"/>
          <w:sz w:val="24"/>
          <w:szCs w:val="24"/>
        </w:rPr>
        <w:t xml:space="preserve">- для налогоплательщика, на имя (наименование) которого выдан электронный патент;</w:t>
      </w:r>
    </w:p>
    <w:p>
      <w:pPr>
        <w:spacing w:after="60"/>
        <w:ind w:firstLine="567"/>
        <w:jc w:val="both"/>
      </w:pPr>
      <w:r>
        <w:rPr>
          <w:rFonts w:ascii="Arial" w:cs="Arial" w:eastAsia="Arial" w:hAnsi="Arial"/>
          <w:sz w:val="24"/>
          <w:szCs w:val="24"/>
        </w:rPr>
        <w:t xml:space="preserve">- на территории района (города), где осуществляется деятельность налогоплательщика, получившего электронный патент, за исключением деятельности налогоплательщиков в области междугородной перевозки пассажиров и грузов на территории Кыргызской Республики.</w:t>
      </w:r>
    </w:p>
    <w:p>
      <w:pPr>
        <w:spacing w:after="200" w:before="200"/>
        <w:jc w:val="center"/>
      </w:pPr>
      <w:r>
        <w:rPr>
          <w:rFonts w:ascii="Arial" w:cs="Arial" w:eastAsia="Arial" w:hAnsi="Arial"/>
          <w:b/>
          <w:bCs/>
          <w:sz w:val="24"/>
          <w:szCs w:val="24"/>
        </w:rPr>
        <w:t xml:space="preserve">4. Общие требования</w:t>
      </w:r>
    </w:p>
    <w:p>
      <w:pPr>
        <w:spacing w:after="60"/>
        <w:ind w:firstLine="567"/>
        <w:jc w:val="both"/>
      </w:pPr>
      <w:r>
        <w:rPr>
          <w:rFonts w:ascii="Arial" w:cs="Arial" w:eastAsia="Arial" w:hAnsi="Arial"/>
          <w:sz w:val="24"/>
          <w:szCs w:val="24"/>
        </w:rPr>
        <w:t xml:space="preserve">19. Уплата налога производится налогоплательщиком на каждую точку торговли или оказания услуг отдельно.</w:t>
      </w:r>
    </w:p>
    <w:p>
      <w:pPr>
        <w:spacing w:after="60"/>
        <w:ind w:firstLine="567"/>
        <w:jc w:val="both"/>
      </w:pPr>
      <w:r>
        <w:rPr>
          <w:rFonts w:ascii="Arial" w:cs="Arial" w:eastAsia="Arial" w:hAnsi="Arial"/>
          <w:sz w:val="24"/>
          <w:szCs w:val="24"/>
        </w:rPr>
        <w:t xml:space="preserve">20. В зависимости от вида патента налогоплательщиком производится уплата сумм:</w:t>
      </w:r>
    </w:p>
    <w:p>
      <w:pPr>
        <w:spacing w:after="60"/>
        <w:ind w:firstLine="567"/>
        <w:jc w:val="both"/>
      </w:pPr>
      <w:r>
        <w:rPr>
          <w:rFonts w:ascii="Arial" w:cs="Arial" w:eastAsia="Arial" w:hAnsi="Arial"/>
          <w:sz w:val="24"/>
          <w:szCs w:val="24"/>
        </w:rPr>
        <w:t xml:space="preserve">1) налога на основе добровольного патента по ставкам, установленным уполномоченным налоговым органом в пределах базовой суммы налога, утвержденным </w:t>
      </w:r>
      <w:hyperlink w:history="1" r:id="rIdqhrh7-f7ukku2uvxp5kw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базовой суммы налога на основе добровольного патента по видам деятельности" от 25 июня 2015 года № 418;</w:t>
      </w:r>
    </w:p>
    <w:p>
      <w:pPr>
        <w:spacing w:after="60"/>
        <w:ind w:firstLine="567"/>
        <w:jc w:val="both"/>
      </w:pPr>
      <w:r>
        <w:rPr>
          <w:rFonts w:ascii="Arial" w:cs="Arial" w:eastAsia="Arial" w:hAnsi="Arial"/>
          <w:sz w:val="24"/>
          <w:szCs w:val="24"/>
        </w:rPr>
        <w:t xml:space="preserve">2) налога на основе обязательного патента по ставкам, утвержденным </w:t>
      </w:r>
      <w:hyperlink w:history="1" r:id="rIdzsw2mfnt4glf31dmvjuf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ставок (размеров) налога на основе обязательного патента по видам экономической деятельности" от 28 января 2009 года № 58;</w:t>
      </w:r>
    </w:p>
    <w:p>
      <w:pPr>
        <w:spacing w:after="60"/>
        <w:ind w:firstLine="567"/>
        <w:jc w:val="both"/>
      </w:pPr>
      <w:r>
        <w:rPr>
          <w:rFonts w:ascii="Arial" w:cs="Arial" w:eastAsia="Arial" w:hAnsi="Arial"/>
          <w:sz w:val="24"/>
          <w:szCs w:val="24"/>
        </w:rPr>
        <w:t xml:space="preserve">3) подоходного налога с заработной платы наемного работника, занятого в сфере деятельности, подлежащей обязательному патентированию, в размере 7 расчетных показателей в месяц согласно части 3 </w:t>
      </w:r>
      <w:r>
        <w:rPr>
          <w:rFonts w:ascii="Arial" w:cs="Arial" w:eastAsia="Arial" w:hAnsi="Arial"/>
          <w:sz w:val="24"/>
          <w:szCs w:val="24"/>
        </w:rPr>
        <w:t xml:space="preserve">статьи 348</w:t>
      </w:r>
      <w:hyperlink w:history="1" r:id="rIdl6dzqlj_udtpvdkxju_md">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4) подоходного налога с заработной платы наемного работника, занятого в сфере деятельности, подлежащей добровольному патентированию или упрощенной системе налогообложения на основе налога с розничных продаж, исчисленную исходя из минимального расчетного дохода, определяемой в соответствии со </w:t>
      </w:r>
      <w:r>
        <w:rPr>
          <w:rFonts w:ascii="Arial" w:cs="Arial" w:eastAsia="Arial" w:hAnsi="Arial"/>
          <w:sz w:val="24"/>
          <w:szCs w:val="24"/>
        </w:rPr>
        <w:t xml:space="preserve">статьей 163</w:t>
      </w:r>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2slte6mz6fjpltanqx_c">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Выдача патента налогоплательщику производится налоговым органом на каждый вид предпринимательской деятельности отдельно. При получении патента в электронном формате налогоплательщик должен оформить патент на каждый вид предпринимательской деятельности отдельно.</w:t>
      </w:r>
    </w:p>
    <w:p>
      <w:pPr>
        <w:spacing w:after="60"/>
        <w:ind w:firstLine="567"/>
        <w:jc w:val="both"/>
      </w:pPr>
      <w:r>
        <w:rPr>
          <w:rFonts w:ascii="Arial" w:cs="Arial" w:eastAsia="Arial" w:hAnsi="Arial"/>
          <w:sz w:val="24"/>
          <w:szCs w:val="24"/>
        </w:rPr>
        <w:t xml:space="preserve">Добровольные патенты могут быть выданы на 15, 30, 90 или 180 дней, следующих подряд.</w:t>
      </w:r>
    </w:p>
    <w:p>
      <w:pPr>
        <w:spacing w:after="60"/>
        <w:ind w:firstLine="567"/>
        <w:jc w:val="both"/>
      </w:pPr>
      <w:r>
        <w:rPr>
          <w:rFonts w:ascii="Arial" w:cs="Arial" w:eastAsia="Arial" w:hAnsi="Arial"/>
          <w:sz w:val="24"/>
          <w:szCs w:val="24"/>
        </w:rPr>
        <w:t xml:space="preserve">Обязательные патенты могут быть выданы на 30, 90 или 180 дней, следующих подряд.</w:t>
      </w:r>
    </w:p>
    <w:p>
      <w:pPr>
        <w:spacing w:after="60"/>
        <w:ind w:firstLine="567"/>
        <w:jc w:val="both"/>
      </w:pPr>
      <w:r>
        <w:rPr>
          <w:rFonts w:ascii="Arial" w:cs="Arial" w:eastAsia="Arial" w:hAnsi="Arial"/>
          <w:sz w:val="24"/>
          <w:szCs w:val="24"/>
        </w:rPr>
        <w:t xml:space="preserve">Патент на наемного работника выдается:</w:t>
      </w:r>
    </w:p>
    <w:p>
      <w:pPr>
        <w:spacing w:after="60"/>
        <w:ind w:firstLine="567"/>
        <w:jc w:val="both"/>
      </w:pPr>
      <w:r>
        <w:rPr>
          <w:rFonts w:ascii="Arial" w:cs="Arial" w:eastAsia="Arial" w:hAnsi="Arial"/>
          <w:sz w:val="24"/>
          <w:szCs w:val="24"/>
        </w:rPr>
        <w:t xml:space="preserve">- только при наличии действующего обязательного патента работодателя и на срок, указанный им в заявлении;</w:t>
      </w:r>
    </w:p>
    <w:p>
      <w:pPr>
        <w:spacing w:after="60"/>
        <w:ind w:firstLine="567"/>
        <w:jc w:val="both"/>
      </w:pPr>
      <w:r>
        <w:rPr>
          <w:rFonts w:ascii="Arial" w:cs="Arial" w:eastAsia="Arial" w:hAnsi="Arial"/>
          <w:sz w:val="24"/>
          <w:szCs w:val="24"/>
        </w:rPr>
        <w:t xml:space="preserve">- работодателю, осуществляющему деятельность по упрощенной системе налогообложения на основе налога с розничных продаж, на срок, указанный им в заявлении.</w:t>
      </w:r>
    </w:p>
    <w:p>
      <w:pPr>
        <w:spacing w:after="60"/>
        <w:ind w:firstLine="567"/>
        <w:jc w:val="both"/>
      </w:pPr>
      <w:r>
        <w:rPr>
          <w:rFonts w:ascii="Arial" w:cs="Arial" w:eastAsia="Arial" w:hAnsi="Arial"/>
          <w:sz w:val="24"/>
          <w:szCs w:val="24"/>
        </w:rPr>
        <w:t xml:space="preserve">Патент на наемного работника выдается только при наличии действующего обязательного или добровольного патента работодателя и на срок, указанный в данном патенте.</w:t>
      </w:r>
    </w:p>
    <w:p>
      <w:pPr>
        <w:spacing w:after="60"/>
        <w:ind w:firstLine="567"/>
        <w:jc w:val="both"/>
      </w:pPr>
      <w:r>
        <w:rPr>
          <w:rFonts w:ascii="Arial" w:cs="Arial" w:eastAsia="Arial" w:hAnsi="Arial"/>
          <w:sz w:val="24"/>
          <w:szCs w:val="24"/>
        </w:rPr>
        <w:t xml:space="preserve">Добровольные патенты на любое количество календарных дней, следующих подряд, выдаются в порядке, определенным настоящим Порядком.</w:t>
      </w:r>
    </w:p>
    <w:p>
      <w:pPr>
        <w:spacing w:after="60"/>
        <w:ind w:firstLine="567"/>
        <w:jc w:val="both"/>
      </w:pPr>
      <w:r>
        <w:rPr>
          <w:rFonts w:ascii="Arial" w:cs="Arial" w:eastAsia="Arial" w:hAnsi="Arial"/>
          <w:sz w:val="24"/>
          <w:szCs w:val="24"/>
        </w:rPr>
        <w:t xml:space="preserve">При приобретении патента на 90 дней сумма налога снижается на 5 процентов, на 180 дней ‒ на 10 процентов.</w:t>
      </w:r>
    </w:p>
    <w:p>
      <w:pPr>
        <w:spacing w:after="60"/>
        <w:ind w:firstLine="567"/>
        <w:jc w:val="both"/>
      </w:pPr>
      <w:r>
        <w:rPr>
          <w:rFonts w:ascii="Arial" w:cs="Arial" w:eastAsia="Arial" w:hAnsi="Arial"/>
          <w:sz w:val="24"/>
          <w:szCs w:val="24"/>
        </w:rPr>
        <w:t xml:space="preserve">В случае реализации налогоплательщиком различных видов товаров на одной торговой точке, по которым ставки добровольного патента составляют разные величины, налог на основе добровольного патента взимается один раз за все заявленные им виды реализуемых товаров по ставке патента только на один вид товара, по которому установлена максимальная ставка. Одновременно в патенте, выдаваемом налогоплательщику, указываются все заявленные им виды реализуемых товаров.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p53bwtkdeb4n4tvimycd">
        <w:r>
          <w:rPr>
            <w:rFonts w:ascii="Arial" w:cs="Arial" w:eastAsia="Arial" w:hAnsi="Arial"/>
            <w:i/>
            <w:iCs/>
            <w:color w:val="1D4ED8"/>
            <w:sz w:val="24"/>
            <w:szCs w:val="24"/>
            <w:u w:val="single"/>
          </w:rPr>
          <w:t xml:space="preserve">22 апреля 2019 года № 188</w:t>
        </w:r>
      </w:hyperlink>
      <w:r>
        <w:rPr>
          <w:rFonts w:ascii="Arial" w:cs="Arial" w:eastAsia="Arial" w:hAnsi="Arial"/>
          <w:i/>
          <w:iCs/>
          <w:sz w:val="24"/>
          <w:szCs w:val="24"/>
        </w:rPr>
        <w:t xml:space="preserve">, </w:t>
      </w:r>
      <w:hyperlink w:history="1" r:id="rId-bz-wwtxhr0ymmcnowkle">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Передача патента или его копии в целях осуществления предпринимательской деятельности другому лицу запрещается.</w:t>
      </w:r>
    </w:p>
    <w:p>
      <w:pPr>
        <w:spacing w:after="60"/>
        <w:ind w:firstLine="567"/>
        <w:jc w:val="both"/>
      </w:pPr>
      <w:r>
        <w:rPr>
          <w:rFonts w:ascii="Arial" w:cs="Arial" w:eastAsia="Arial" w:hAnsi="Arial"/>
          <w:sz w:val="24"/>
          <w:szCs w:val="24"/>
        </w:rPr>
        <w:t xml:space="preserve">23. Патент на осуществление отдельных видов деятельности не заменяет лицензий и других специальных разрешений на право их ведения, выдаваемых уполномоченными на это государственными органами.</w:t>
      </w:r>
    </w:p>
    <w:p>
      <w:pPr>
        <w:spacing w:after="60"/>
        <w:ind w:firstLine="567"/>
        <w:jc w:val="both"/>
      </w:pPr>
      <w:r>
        <w:rPr>
          <w:rFonts w:ascii="Arial" w:cs="Arial" w:eastAsia="Arial" w:hAnsi="Arial"/>
          <w:sz w:val="24"/>
          <w:szCs w:val="24"/>
        </w:rPr>
        <w:t xml:space="preserve">24. Налоговый орган имеет право аннулировать патент в случае, если налогоплательщик осуществляет вид деятельности, не указанный в патенте, а также при наличии подтвержденного факта осуществления импорта товаров, за исключением субъектов швейной и текстильной отрасли.</w:t>
      </w:r>
    </w:p>
    <w:p>
      <w:pPr>
        <w:spacing w:after="60"/>
        <w:ind w:firstLine="567"/>
        <w:jc w:val="both"/>
      </w:pPr>
      <w:r>
        <w:rPr>
          <w:rFonts w:ascii="Arial" w:cs="Arial" w:eastAsia="Arial" w:hAnsi="Arial"/>
          <w:sz w:val="24"/>
          <w:szCs w:val="24"/>
        </w:rPr>
        <w:t xml:space="preserve">При превышении налогоплательщиком налога на основе добровольного патента регистрационного порога по налогу на добавленную стоимость добровольный патент подлежит аннулированию.</w:t>
      </w:r>
    </w:p>
    <w:p>
      <w:pPr>
        <w:spacing w:after="60"/>
        <w:ind w:firstLine="567"/>
        <w:jc w:val="both"/>
      </w:pPr>
      <w:r>
        <w:rPr>
          <w:rFonts w:ascii="Arial" w:cs="Arial" w:eastAsia="Arial" w:hAnsi="Arial"/>
          <w:sz w:val="24"/>
          <w:szCs w:val="24"/>
        </w:rPr>
        <w:t xml:space="preserve">При аннулировании патента налоговый орган в трехдневный срок обязан уведомить об этом налогоплательщика.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uxy6hkmiauoyg33ojo6w">
        <w:r>
          <w:rPr>
            <w:rFonts w:ascii="Arial" w:cs="Arial" w:eastAsia="Arial" w:hAnsi="Arial"/>
            <w:i/>
            <w:iCs/>
            <w:color w:val="1D4ED8"/>
            <w:sz w:val="24"/>
            <w:szCs w:val="24"/>
            <w:u w:val="single"/>
          </w:rPr>
          <w:t xml:space="preserve">22 апреля 2019 года № 188</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25. Сумма налога, внесенная налогоплательщиком при приобретении патента, является фиксированной и не подлежит пересчету, а уплаченная сумма налога не подлежит возврату после приобретения патента, за исключением пересчета суммы налога на основе патента, срок действия которого приходится на период обстоятельств непреодолимой силы.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kby9guzbm1tpvsspzlj">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В случае приостановления деятельности в результате обстоятельств непреодолимой силы налогоплательщик при возобновлении деятельности подает заявление в бумажной или электронной форме в территориальный налоговый орган о продлении срока действия патента с указанием даты приостановления деятельности. Должностное лицо налогового органа обязано указать в бланке патента на бумажном носителе отметку о продлении срока патента на оставшиеся неиспользованные дни с начала возобновления деятельности и проставить штамп, при предоставлении налогоплательщиком электронного заявления - подтвердить в автоматизированной системе путем предоставления в электронной форме уведомления о продлении срока электронного патента на оставшиеся неиспользованные дни.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tzdmdjnq5fafundn_y5d">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Патент действителен только на той территории, где был выдан (район, город без районного деления или город Бишкек). Передача патента или его копии в целях осуществления предпринимательской деятельности другому лицу запрещается.</w:t>
      </w:r>
    </w:p>
    <w:p>
      <w:pPr>
        <w:spacing w:after="60"/>
        <w:ind w:firstLine="567"/>
        <w:jc w:val="both"/>
      </w:pPr>
      <w:r>
        <w:rPr>
          <w:rFonts w:ascii="Arial" w:cs="Arial" w:eastAsia="Arial" w:hAnsi="Arial"/>
          <w:sz w:val="24"/>
          <w:szCs w:val="24"/>
        </w:rPr>
        <w:t xml:space="preserve">27. Бланки патента на бумажном носителе являются документами строгой отчетности. Патент подлежит хранению в течение срока исковой давности, установленного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28. Налогоплательщик, осуществляющий услуги по перевозке пассажиров и грузов по республике и международным направлениям, имеет право на приобретение добровольного патента на бумажном носителе либо в электронном формате в любом территориальном налоговом органе независимо от места регистрации и ведения деятельности.</w:t>
      </w:r>
    </w:p>
    <w:p>
      <w:pPr>
        <w:spacing w:after="60"/>
        <w:ind w:firstLine="567"/>
        <w:jc w:val="both"/>
      </w:pPr>
      <w:r>
        <w:rPr>
          <w:rFonts w:ascii="Arial" w:cs="Arial" w:eastAsia="Arial" w:hAnsi="Arial"/>
          <w:sz w:val="24"/>
          <w:szCs w:val="24"/>
        </w:rPr>
        <w:t xml:space="preserve">29. В случае осуществления деятельности без патента или нарушения пунктов настоящего Порядка налогоплательщик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30. Ведение деятельности без патента признается ведением деятельности без регистрации и/или уклонением от налогообложения.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q6snfffiho27rn7xqzw">
      <w:r>
        <w:rPr>
          <w:rFonts w:ascii="Arial" w:cs="Arial" w:eastAsia="Arial" w:hAnsi="Arial"/>
          <w:color w:val="132D3F"/>
          <w:sz w:val="16"/>
          <w:szCs w:val="16"/>
          <w:u w:val="single"/>
        </w:rPr>
        <w:t xml:space="preserve">dalil.kg/document/12281</w:t>
      </w:r>
    </w:hyperlink>
  </w:p>
  <w:p>
    <w:pPr>
      <w:spacing w:after="0" w:before="40"/>
      <w:jc w:val="center"/>
    </w:pPr>
    <w:hyperlink w:history="1" r:id="rIdkb8xvjhhulxxjgcy6m85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ef8oukzyda0ofuxvgpem" Type="http://schemas.openxmlformats.org/officeDocument/2006/relationships/hyperlink" Target="https://dalil.kg/document/159028" TargetMode="External"/><Relationship Id="rId3i9i9ube3mnfoyfuxapky" Type="http://schemas.openxmlformats.org/officeDocument/2006/relationships/hyperlink" Target="https://dalil.kg/document/12280" TargetMode="External"/><Relationship Id="rIdabxdmrztuv3xlkenpiko3" Type="http://schemas.openxmlformats.org/officeDocument/2006/relationships/hyperlink" Target="https://dalil.kg/document/14100" TargetMode="External"/><Relationship Id="rIdbbn9rkh0mcadb_fhr37qq" Type="http://schemas.openxmlformats.org/officeDocument/2006/relationships/hyperlink" Target="https://dalil.kg/document/157546" TargetMode="External"/><Relationship Id="rIdgzzzvdj88wdany8xs-7cc" Type="http://schemas.openxmlformats.org/officeDocument/2006/relationships/hyperlink" Target="https://dalil.kg/document/99458" TargetMode="External"/><Relationship Id="rIdhrelaz8m75fvqxzjdn2vr" Type="http://schemas.openxmlformats.org/officeDocument/2006/relationships/hyperlink" Target="https://dalil.kg/document/158942" TargetMode="External"/><Relationship Id="rIdep4bu2rf5-fpoe1idrmvl" Type="http://schemas.openxmlformats.org/officeDocument/2006/relationships/hyperlink" Target="https://dalil.kg/document/202445#st_345" TargetMode="External"/><Relationship Id="rIdeayta4wlewxk26ocvw4he" Type="http://schemas.openxmlformats.org/officeDocument/2006/relationships/hyperlink" Target="https://dalil.kg/document/627#st_1" TargetMode="External"/><Relationship Id="rIdpnjdu6sgfyihma59dny91" Type="http://schemas.openxmlformats.org/officeDocument/2006/relationships/hyperlink" Target="https://dalil.kg/document/1393#st_6" TargetMode="External"/><Relationship Id="rIdz7s4jkyysnjsfakqtioaw" Type="http://schemas.openxmlformats.org/officeDocument/2006/relationships/hyperlink" Target="https://dalil.kg/document/1393#st_7" TargetMode="External"/><Relationship Id="rIde-8di1mf19jxuguofzgm3" Type="http://schemas.openxmlformats.org/officeDocument/2006/relationships/hyperlink" Target="https://dalil.kg/document/157546" TargetMode="External"/><Relationship Id="rIdmt2b_lbqt6umpz6yzvslu" Type="http://schemas.openxmlformats.org/officeDocument/2006/relationships/hyperlink" Target="https://dalil.kg/document/158942" TargetMode="External"/><Relationship Id="rIdwwpzkxmsbct3cqtmiy7qy" Type="http://schemas.openxmlformats.org/officeDocument/2006/relationships/hyperlink" Target="https://dalil.kg/document/157546" TargetMode="External"/><Relationship Id="rId9csvblbyyavt8febynxq9" Type="http://schemas.openxmlformats.org/officeDocument/2006/relationships/hyperlink" Target="https://dalil.kg/document/202445" TargetMode="External"/><Relationship Id="rIdnbt80pr1dj_i5wavjme-j" Type="http://schemas.openxmlformats.org/officeDocument/2006/relationships/hyperlink" Target="https://dalil.kg/document/14100" TargetMode="External"/><Relationship Id="rIdfgn-2s2qto_56ktl8xthd" Type="http://schemas.openxmlformats.org/officeDocument/2006/relationships/hyperlink" Target="https://dalil.kg/document/157546" TargetMode="External"/><Relationship Id="rIdfjwguodochkfxhdpo1wko" Type="http://schemas.openxmlformats.org/officeDocument/2006/relationships/hyperlink" Target="https://dalil.kg/document/202445" TargetMode="External"/><Relationship Id="rIdz86wn7vf9jodvpudjssoz" Type="http://schemas.openxmlformats.org/officeDocument/2006/relationships/hyperlink" Target="https://dalil.kg/document/157546" TargetMode="External"/><Relationship Id="rIdqa8eymqvwg4hrl7sgmscw" Type="http://schemas.openxmlformats.org/officeDocument/2006/relationships/hyperlink" Target="https://dalil.kg/document/157546" TargetMode="External"/><Relationship Id="rIdscl7qxxv5xmcpn1wpcwf8" Type="http://schemas.openxmlformats.org/officeDocument/2006/relationships/hyperlink" Target="https://dalil.kg/document/157546" TargetMode="External"/><Relationship Id="rIds0tsolfmndf3qanykxbyu" Type="http://schemas.openxmlformats.org/officeDocument/2006/relationships/hyperlink" Target="https://dalil.kg/document/14100" TargetMode="External"/><Relationship Id="rIdpcarrr36ujnsafvfwfbk8" Type="http://schemas.openxmlformats.org/officeDocument/2006/relationships/hyperlink" Target="https://dalil.kg/document/157546" TargetMode="External"/><Relationship Id="rIdiw1rqtqbbppwajlgykbms" Type="http://schemas.openxmlformats.org/officeDocument/2006/relationships/hyperlink" Target="https://dalil.kg/document/158942" TargetMode="External"/><Relationship Id="rIdjwrdjhgkpsnfyjr7aatcm" Type="http://schemas.openxmlformats.org/officeDocument/2006/relationships/hyperlink" Target="https://dalil.kg/document/157546" TargetMode="External"/><Relationship Id="rIdlnhn-22gqkuvnhrucbmd1" Type="http://schemas.openxmlformats.org/officeDocument/2006/relationships/hyperlink" Target="https://dalil.kg/document/157546" TargetMode="External"/><Relationship Id="rIdpb63ffnwx2hyh5aksaupx" Type="http://schemas.openxmlformats.org/officeDocument/2006/relationships/hyperlink" Target="https://dalil.kg/document/157546" TargetMode="External"/><Relationship Id="rId15mf1aiz4t5tdsmdqpwfh" Type="http://schemas.openxmlformats.org/officeDocument/2006/relationships/hyperlink" Target="https://dalil.kg/document/157546" TargetMode="External"/><Relationship Id="rIdqhrh7-f7ukku2uvxp5kw5" Type="http://schemas.openxmlformats.org/officeDocument/2006/relationships/hyperlink" Target="https://dalil.kg/document/97683" TargetMode="External"/><Relationship Id="rIdzsw2mfnt4glf31dmvjufj" Type="http://schemas.openxmlformats.org/officeDocument/2006/relationships/hyperlink" Target="https://dalil.kg/document/90221" TargetMode="External"/><Relationship Id="rIdl6dzqlj_udtpvdkxju_md" Type="http://schemas.openxmlformats.org/officeDocument/2006/relationships/hyperlink" Target="https://dalil.kg/document/202445" TargetMode="External"/><Relationship Id="rIdq2slte6mz6fjpltanqx_c" Type="http://schemas.openxmlformats.org/officeDocument/2006/relationships/hyperlink" Target="https://dalil.kg/document/158942" TargetMode="External"/><Relationship Id="rIdrp53bwtkdeb4n4tvimycd" Type="http://schemas.openxmlformats.org/officeDocument/2006/relationships/hyperlink" Target="https://dalil.kg/document/14100" TargetMode="External"/><Relationship Id="rId-bz-wwtxhr0ymmcnowkle" Type="http://schemas.openxmlformats.org/officeDocument/2006/relationships/hyperlink" Target="https://dalil.kg/document/158942" TargetMode="External"/><Relationship Id="rId9uxy6hkmiauoyg33ojo6w" Type="http://schemas.openxmlformats.org/officeDocument/2006/relationships/hyperlink" Target="https://dalil.kg/document/14100" TargetMode="External"/><Relationship Id="rId-xkby9guzbm1tpvsspzlj" Type="http://schemas.openxmlformats.org/officeDocument/2006/relationships/hyperlink" Target="https://dalil.kg/document/99458" TargetMode="External"/><Relationship Id="rIdntzdmdjnq5fafundn_y5d" Type="http://schemas.openxmlformats.org/officeDocument/2006/relationships/hyperlink" Target="https://dalil.kg/document/99458"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q6snfffiho27rn7xqzw" Type="http://schemas.openxmlformats.org/officeDocument/2006/relationships/hyperlink" Target="https://dalil.kg/document/12281" TargetMode="External"/><Relationship Id="rIdkb8xvjhhulxxjgcy6m85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2026-09-24T00:05:56.377Z</dcterms:created>
  <dcterms:modified xsi:type="dcterms:W3CDTF">2026-09-24T00:05:56.377Z</dcterms:modified>
</cp:coreProperties>
</file>

<file path=docProps/custom.xml><?xml version="1.0" encoding="utf-8"?>
<Properties xmlns="http://schemas.openxmlformats.org/officeDocument/2006/custom-properties" xmlns:vt="http://schemas.openxmlformats.org/officeDocument/2006/docPropsVTypes"/>
</file>