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rkxdaph1lrjykqbmp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388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информационном взаимодействии государств-участников СНГ в области обеспечения транспортной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30 мая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по вопросам обеспечения безопасности на транспорте в государствах-участниках Содружества Независимых Государств, принятой Решением Совета глав правительств СНГ от 18 сентября 2003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Приоритетных направлений</w:t>
      </w:r>
      <w:r>
        <w:rPr>
          <w:rFonts w:ascii="Arial" w:cs="Arial" w:eastAsia="Arial" w:hAnsi="Arial"/>
          <w:sz w:val="24"/>
          <w:szCs w:val="24"/>
        </w:rPr>
        <w:t xml:space="preserve"> сотрудничества государств-участников СНГ в сфере транспорта на период до 2020 года, утвержденных Решением Совета глав правительств СНГ от 14 ноября 2008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согласованном развитии международных транспортных коридоров, проходящих по территории государств-участников СНГ от 20 ноября 2009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гармонизации законодательства о транспортной безопасности, в том числе в целях создания благоприятных условий для эффективной эксплуатации и развития участков международных транспортных коридоров, проходящих по территориям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международное сотрудничество по вопросам реализации практических мер, направленных на предупреждение актов незаконного вмешательства, угрожающих устойчивому и безопасному функционированию транспортного комплекса, создающих угрозу интересам личности, общества и государства,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взаимную выгоду объединения усилий Сторон в области обеспечения транспортной безопасности и отмечая полезность двух- и многосторонних договоренностей об обмене информацией в этой области,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незаконного вмешательства</w:t>
      </w:r>
      <w:r>
        <w:rPr>
          <w:rFonts w:ascii="Arial" w:cs="Arial" w:eastAsia="Arial" w:hAnsi="Arial"/>
          <w:sz w:val="24"/>
          <w:szCs w:val="24"/>
        </w:rPr>
        <w:t xml:space="preserve"> - 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 объектов транспортной инфраструктуры 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отнесение их к определенным категориям с учетом степени угрозы совершения акта незаконного вмешательства и его возможных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Сторон</w:t>
      </w:r>
      <w:r>
        <w:rPr>
          <w:rFonts w:ascii="Arial" w:cs="Arial" w:eastAsia="Arial" w:hAnsi="Arial"/>
          <w:sz w:val="24"/>
          <w:szCs w:val="24"/>
        </w:rPr>
        <w:t xml:space="preserve"> - органы, определяемые Сторонами для организации и осуществления информационного взаимодействия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транспортной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комплекс, включающий: железнодорожные, автомобильные вокзалы и станции; тоннели, эстакады, мосты; морские терминалы, акватории морских портов; порты, которые расположены на внутренних водных путях и в которых осуществляются посадка (высадка) пассажиров и (или) перевалка грузов повышенной опасности на основании специальных разрешений, судоходные гидротехнические сооружения; аэродромы, аэропорты, объекты систем связи, навигации и управления движением транспортных средств; участки автомобильных дорог, железнодорожных и внутренних водных путей, вертодромы, посадочные площадки, а также иные обеспечивающие функционирование транспортного комплекса здания, сооружения, устройства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уязвимости объектов транспортной инфраструктуры 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защищенности объектов транспортной инфраструктуры и транспортных средств от угроз совершения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принявший на себя обязанность доставить пассажира, вверенный ему отправителем груз, багаж, грузобагаж из пункта отправления в пункт назначения, а также выдать груз, багаж, грузобагаж уполномоченному на его получение лицу (получателю);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силы обеспечения транспортной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лица, ответственные за обеспечение транспортной безопасности в субъекте транспортной инфраструктуры, на объекте транспортной инфраструктуры, транспортном средстве, включая персонал субъекта транспортной инфраструктуры или подразделения транспортной безопасности, непосредственно связанные с обеспечением транспортной безопасности объектов транспортной инфраструктуры или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транспортной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являющиеся собственниками объектов транспортной инфраструктуры и/или транспортных средств или использующие их на ином законном основании;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объектов транспортной инфраструктуры и транспортных средств от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устройства, предназначенные для перевозки физических лиц, грузов, багажа, ручной клади, личных вещей, животных или оборудования, устройств, установленных на указанных транспортных средствах, и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автомобильного транспорта, используемые для регулярной перевозки пассажиров и багажа или перевозки пассажиров и багажа по заказу либо используемые для перевозки опасных грузов, на осуществление которой требуется специальное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коммерческой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суда авиации общего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используемые в целях торгового мореплавания (морские суда), за исключением прогулочных судов, спортивных парусных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суда, используемые на внутренних водных путях для перевозки пассажиров, за исключением прогулочных судов, спортивных парусных судов, и (или) для перевозки грузов повышенной опасности, допускаемых к перевозке по специальным разрешениям;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подвижной состав, осуществляющий перевозку пассажиров и (или) грузов повышенной опасности, допускаемых к перевозке по специальным разрешениям;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городского наземного электрического транспорта.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определение общих принципов организации информационного взаимодействия Сторон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гармонизации подходов к выработке государственной политики и нормативно-правовому регулированию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информирования об угрозах совершения и о совершении актов незаконного вмешательства на объектах транспортной инфраструктуры и транспортных средствах при осуществлении международных перевозок по территориям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информационное взаимодействие по предмету настоящего Соглашения в качестве базовой составляющей устойчивого международного транзитного сообщения и создания взаимовыгодных условий для беспрепятственной перевозки пассажиров, грузов, багажа и грузобагажа по территориям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настоящего Соглашения Стороны организуют информационное взаимодействие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угроз совершения актов незаконного вмешательства в деятельность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уязвимости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категорирование объектов транспортной инфраструктуры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требований по обеспечению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реализация мер по обеспечению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аттестация сил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(надзора)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информационное, материально-техническое и научно-техническое обеспечение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согласованной позиции по вопросам защиты объектов транспортной инфраструктуры и транспортных средств от актов незаконного вмешательства в рамках участия государств-участников настоящего Соглашения в деятельности международных организаций.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организуют информационное взаимодействие в целях незамедлительного информирования об угрозах совершения и о совершении актов незаконного вмешательства в деятельность объектов транспортной инфраструктуры, находящихся на территориях государств-участников настоящего Соглашения, и (или) транспортных средств, используемых для осуществления международных перевозок в государства, из государств и (или) через территорию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незамедлительному информированию осуществляются Стороной, располагающей информацией об угрозах совершения и о совершении актов незаконного вмешательства в деятельность объектов транспортной инфраструктуры и (или) транспортных средств, указанных в части первой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об угрозах совершения и о совершении актов незаконного вмешательства в деятельность объектов транспортной инфраструктуры и (или) транспортных средств подлежит передаче Стороной, располагающей данной информацией, другой Стороне в порядке, согласованном компетентными органами Сторон, в случае наличия: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объекта транспортной инфраструктуры, находящегося на территории другого государства-участника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объекта транспортной инфраструктуры, находящегося на территории государства-участника настоящего Соглашения, располагающего данной информацией, и используемого для осуществления международных перевозок в другое государство, из другого государства и (или) через территорию другого государства-участника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об угрозах совершения и о совершении актов незаконного вмешательства в деятельность транспортного средства, используемого для осуществления международных перевозок в другое государство, из другого государства и (или) через территорию другого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информационного взаимодействия по предмету настоящего Соглашения каждая из Сторон определяет компетентный орган, уполномоченный: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компетентным органам Сторон информацию о содержании нормативных правовых актов, принятых в государстве-участнике настоящего Соглашения в целях государственного регулирования в области обеспечения транспортной безопасности, в том числе своевременно информировать об изменении законодательства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компетентным органам Сторон разъяснения по применению нормативных правовых актов, принятых в государстве-участнике настоящего Соглашения в целях государственного регулирования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предложения компетентных органов Сторон по вопросам выработки и реализации государственной политики и нормативно-правовому регулированию в области обеспечения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компетентные органы Сторон об угрозах совершения и о совершении актов незаконного вмешательства на объектах транспортной инфраструктуры и транспортных средствах в соответствии со статьей 5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определяют перечень своих компетентных органов и сообщают об этом депозитарию при сдаче уведомления о выполнении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перечня компетентных органов каждая из Сторон в течение одного месяца с даты принятия такого решения письменно уведомляет депозитарий.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Компетентные органы Сторон устанавливают прямые контакты, организуют взаимодействие и осуществляют информационный обмен в целях реализации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настоящего Соглашения компетентные органы Сторон могут создавать совместные рабочие группы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рабочих групп экспертов является разработка предложений, связанных с осуществлением Сторонами информационного взаимодействия, предложений по организации непрерывного наблюдения за реализацией Сторонами настоящего Соглашения и, при необходимости, его пересмотра.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обеспечивает предоставление другой Стороне информации, необходимой для выполнения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рамках настоящего Соглашения производится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не передает третьим сторонам информацию, полученную в рамках настоящего Соглашения от другой Стороны, без ее письменного согласия.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заинтересованными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государства-участника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во время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30 мая 2014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об информационном взаимодействии государств-участников СНГ в области обеспечения транспортной безопасности, принятого на заседании Совета глав правительств Содружества Независимых Государств, которое состоялось 30 мая 2014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В.Гаркун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rbe0v4d5pgpa6i6e7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dalil.kg/document/12290</w:t>
      </w:r>
    </w:hyperlink>
  </w:p>
  <w:p>
    <w:pPr>
      <w:spacing w:after="0" w:before="40"/>
      <w:jc w:val="center"/>
    </w:pPr>
    <w:hyperlink w:history="1" r:id="rIdueask-4onrr20g4ull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xdaph1lrjykqbmpo4c" Type="http://schemas.openxmlformats.org/officeDocument/2006/relationships/hyperlink" Target="https://dalil.kg/document/1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rbe0v4d5pgpa6i6e7f-" Type="http://schemas.openxmlformats.org/officeDocument/2006/relationships/hyperlink" Target="https://dalil.kg/document/12290" TargetMode="External"/><Relationship Id="rIdueask-4onrr20g4ull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2026-09-27T05:08:51.464Z</dcterms:created>
  <dcterms:modified xsi:type="dcterms:W3CDTF">2026-09-27T05:08:51.464Z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