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iyltbhlbaaex27owo7_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2018 года № 393</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июня 2017 года № 368</w:t>
      </w:r>
    </w:p>
    <w:p>
      <w:pPr>
        <w:spacing w:after="120"/>
        <w:jc w:val="both"/>
      </w:pPr>
      <w:r>
        <w:rPr>
          <w:rFonts w:ascii="Arial" w:cs="Arial" w:eastAsia="Arial" w:hAnsi="Arial"/>
          <w:sz w:val="28"/>
          <w:szCs w:val="28"/>
        </w:rPr>
        <w:t xml:space="preserve">О Среднесрочном прогнозе социально-экономического развития Кыргызской Республики на 2018-2020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w:t>
      </w:r>
      <w:hyperlink w:history="1" r:id="rIdcoumwlkfaxpe3mpv6c7ba">
        <w:r>
          <w:rPr>
            <w:rFonts w:ascii="Arial" w:cs="Arial" w:eastAsia="Arial" w:hAnsi="Arial"/>
            <w:color w:val="1D4ED8"/>
            <w:sz w:val="24"/>
            <w:szCs w:val="24"/>
            <w:u w:val="single"/>
          </w:rPr>
          <w:t xml:space="preserve">Бюджетным кодексом</w:t>
        </w:r>
      </w:hyperlink>
      <w:r>
        <w:rPr>
          <w:rFonts w:ascii="Arial" w:cs="Arial" w:eastAsia="Arial" w:hAnsi="Arial"/>
          <w:sz w:val="24"/>
          <w:szCs w:val="24"/>
        </w:rPr>
        <w:t xml:space="preserve"> Кыргызской Республики, </w:t>
      </w:r>
      <w:hyperlink w:history="1" r:id="rIdn7r1apojdmoot3jdn7de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c8qs-xojqu-xgfsl6izf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fzkjxce5c3shq0_rfsk52">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2018-2020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взять за основу утвержденные макроэкономические параметры развития Кыргызской Республики на 2018-2020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120"/>
        <w:jc w:val="both"/>
      </w:pPr>
      <w:r>
        <w:rPr>
          <w:rFonts w:ascii="Arial" w:cs="Arial" w:eastAsia="Arial" w:hAnsi="Arial"/>
          <w:sz w:val="24"/>
          <w:szCs w:val="24"/>
        </w:rPr>
        <w:t xml:space="preserve">- принять за основу утвержденные макроэкономические параметры развития на 2018-2020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2018 году.</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Аппарат Правительства Кыргызской Республики информацию о выполнении целевых показателей социально-экономического развития Кыргызской Республики в 2018 году;</w:t>
      </w:r>
    </w:p>
    <w:p>
      <w:pPr>
        <w:spacing w:after="120"/>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2018-2020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w:t>
      </w:r>
      <w:hyperlink w:history="1" r:id="rId58b5jtbf-tv2zfekqzc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2017-2019 годы" от 20 мая 2016 года № 270;</w:t>
      </w:r>
    </w:p>
    <w:p>
      <w:pPr>
        <w:spacing w:after="120"/>
        <w:jc w:val="both"/>
      </w:pPr>
      <w:r>
        <w:rPr>
          <w:rFonts w:ascii="Arial" w:cs="Arial" w:eastAsia="Arial" w:hAnsi="Arial"/>
          <w:sz w:val="24"/>
          <w:szCs w:val="24"/>
        </w:rPr>
        <w:t xml:space="preserve">- </w:t>
      </w:r>
      <w:hyperlink w:history="1" r:id="rIdo939tugcw0hm9amwqo6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2017 год и 2018-2019 годы" от 14 июля 2016 года № 395.</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2018-2020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2018-2020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Среднесрочный прогноз рассчитан на основе анализа тенденций развития экономики в 2016 году, оценки ожидаемых показателей в 2017 году и учитывает факторы/риски сложившейся фактической ситуации. В Среднесрочном прогнозе определены основные направления развития ключевых секторов экономики на 2018 год, включая детализированное описание их прогнозных значений, и перспективы развития экономики страны в 2019-2020 годах, построенные на базе официальных прогнозов отраслевых министерств, государственных комитетов, ведомств, регионов.</w:t>
      </w:r>
    </w:p>
    <w:p>
      <w:pPr>
        <w:spacing w:after="60"/>
        <w:ind w:firstLine="567"/>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2018-2020 годы является основой для разработки проекта Среднесрочного бюджета Кыргызской Республики.</w:t>
      </w:r>
    </w:p>
    <w:p>
      <w:pPr>
        <w:spacing w:after="200" w:before="200"/>
        <w:jc w:val="center"/>
      </w:pPr>
      <w:r>
        <w:rPr>
          <w:rFonts w:ascii="Arial" w:cs="Arial" w:eastAsia="Arial" w:hAnsi="Arial"/>
          <w:b/>
          <w:bCs/>
          <w:sz w:val="24"/>
          <w:szCs w:val="24"/>
        </w:rPr>
        <w:t xml:space="preserve">2. Краткий обзор макроэкономической ситуации в 2016 году</w:t>
      </w:r>
    </w:p>
    <w:p>
      <w:pPr>
        <w:spacing w:after="60"/>
        <w:ind w:firstLine="567"/>
        <w:jc w:val="both"/>
      </w:pPr>
      <w:r>
        <w:rPr>
          <w:rFonts w:ascii="Arial" w:cs="Arial" w:eastAsia="Arial" w:hAnsi="Arial"/>
          <w:sz w:val="24"/>
          <w:szCs w:val="24"/>
        </w:rPr>
        <w:t xml:space="preserve">Проводимая экономическая политика Правительства Кыргызской Республики (далее - Правительство) и Национального банка Кыргызской Республики (далее - Национальный банк) позволила в 2016 году обеспечить макроэкономическую и социальную стабильность в стране.</w:t>
      </w:r>
    </w:p>
    <w:p>
      <w:pPr>
        <w:spacing w:after="60"/>
        <w:ind w:firstLine="567"/>
        <w:jc w:val="both"/>
      </w:pPr>
      <w:r>
        <w:rPr>
          <w:rFonts w:ascii="Arial" w:cs="Arial" w:eastAsia="Arial" w:hAnsi="Arial"/>
          <w:sz w:val="24"/>
          <w:szCs w:val="24"/>
        </w:rPr>
        <w:t xml:space="preserve">Главным результатом итогов 2016 года стало сохранение положительной динамики экономического роста и развития национальной экономики на фоне нарастания глобальных экономических рисков.</w:t>
      </w:r>
    </w:p>
    <w:p>
      <w:pPr>
        <w:spacing w:after="60"/>
        <w:ind w:firstLine="567"/>
        <w:jc w:val="both"/>
      </w:pPr>
      <w:r>
        <w:rPr>
          <w:rFonts w:ascii="Arial" w:cs="Arial" w:eastAsia="Arial" w:hAnsi="Arial"/>
          <w:sz w:val="24"/>
          <w:szCs w:val="24"/>
        </w:rPr>
        <w:t xml:space="preserve">Основным сдерживающим фактором экономического роста с начала 2016 года, включая торговлю и инвестиционную деятельность, стало ухудшение экономической ситуации в странах - основных торговых партнерах - в России, Казахстане, других странах Евразийского экономического союза (далее - ЕАЭС), а также в Китайской Народной Республике (далее - Китай) из-за напряженной экономической ситуации в мире. Динамика замедления роста экономики охватила подавляющее большинство стран глобального мира.</w:t>
      </w:r>
    </w:p>
    <w:p>
      <w:pPr>
        <w:spacing w:after="60"/>
        <w:ind w:firstLine="567"/>
        <w:jc w:val="both"/>
      </w:pPr>
      <w:r>
        <w:rPr>
          <w:rFonts w:ascii="Arial" w:cs="Arial" w:eastAsia="Arial" w:hAnsi="Arial"/>
          <w:sz w:val="24"/>
          <w:szCs w:val="24"/>
        </w:rPr>
        <w:t xml:space="preserve">В 2016 году восстановление мировой экономики замедлилось, мировая торговля переживала критический период. Замедление или снижение темпов экономического роста было характерно в той или иной мере для всех крупнейших экономик мира, при этом наиболее выраженным являлось замедление роста в крупных развивающихся экономиках и странах-экспортерах сырьевых товаров. Темпы роста мировой экономики замедлились с 3,2% в 2015 году до 3,1% в 2016 году.</w:t>
      </w:r>
    </w:p>
    <w:p>
      <w:pPr>
        <w:spacing w:after="60"/>
        <w:ind w:firstLine="567"/>
        <w:jc w:val="both"/>
      </w:pPr>
      <w:r>
        <w:rPr>
          <w:rFonts w:ascii="Arial" w:cs="Arial" w:eastAsia="Arial" w:hAnsi="Arial"/>
          <w:sz w:val="24"/>
          <w:szCs w:val="24"/>
        </w:rPr>
        <w:t xml:space="preserve">Экономика еврозоны начала 2016 года в условиях не очень быстрого, но стабильного роста и по итогам года выросла на 1,7%.</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Темпы роста мировой экономики,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7"/>
        <w:gridCol w:w="2750"/>
        <w:gridCol w:w="3961"/>
      </w:tblGrid>
      <w:tr>
        <w:tc>
          <w:tcPr>
            <w:tcW w:type="dxa" w:w="3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7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факт</w:t>
            </w:r>
          </w:p>
        </w:tc>
        <w:tc>
          <w:tcPr>
            <w:tcW w:type="dxa" w:w="3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r>
      <w:tr>
        <w:tc>
          <w:tcPr>
            <w:tcW w:type="dxa" w:w="3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7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3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7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3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7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3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bl>
    <w:p>
      <w:pPr>
        <w:spacing w:after="60" w:before="120"/>
        <w:ind w:firstLine="567"/>
        <w:jc w:val="both"/>
      </w:pPr>
      <w:r>
        <w:rPr>
          <w:rFonts w:ascii="Arial" w:cs="Arial" w:eastAsia="Arial" w:hAnsi="Arial"/>
          <w:sz w:val="24"/>
          <w:szCs w:val="24"/>
        </w:rPr>
        <w:t xml:space="preserve">Экономика Китая в 2016 году показала самый слабый рост с 1990 года, где темпы роста ВВП Китая замедлились до 6,7% с 6,9% в 2015 году. Слабый рост китайской экономики был связан в первую очередь с тем, что основные драйверы роста (такие как инвестиции и экспорт) снизились. Кроме этого, юань испытал максимальное падение с 1994 года, акции падали максимальными темпами с 2011 года, цены на облигации также снижались.</w:t>
      </w:r>
    </w:p>
    <w:p>
      <w:pPr>
        <w:spacing w:after="60"/>
        <w:ind w:firstLine="567"/>
        <w:jc w:val="both"/>
      </w:pPr>
      <w:r>
        <w:rPr>
          <w:rFonts w:ascii="Arial" w:cs="Arial" w:eastAsia="Arial" w:hAnsi="Arial"/>
          <w:sz w:val="24"/>
          <w:szCs w:val="24"/>
        </w:rPr>
        <w:t xml:space="preserve">В течение 2016 года мировые цены на сырьевые товары восстанавливались медленными темпами и после обвального снижения восстановились только частично, что негативно отразилось на состоянии торговых балансов и бюджетов государств-членов ЕАЭС.</w:t>
      </w:r>
    </w:p>
    <w:p>
      <w:pPr>
        <w:spacing w:after="60"/>
        <w:ind w:firstLine="567"/>
        <w:jc w:val="both"/>
      </w:pPr>
      <w:r>
        <w:rPr>
          <w:rFonts w:ascii="Arial" w:cs="Arial" w:eastAsia="Arial" w:hAnsi="Arial"/>
          <w:sz w:val="24"/>
          <w:szCs w:val="24"/>
        </w:rPr>
        <w:t xml:space="preserve">Развитие в странах-членах ЕАЭС происходило в условиях адаптации к сложившимся внешним условиям на фоне складывающейся ситуации в мировой экономике, и преодоления негативных последствий, продолжающихся в течение нескольких лет, которые обусловлены снижением цен на основные экспортируемые товары и продолжением действия санкций в отношении основного торгового партнера Кыргызской Республики - Российской Федерации со стороны ряда стран и международных организаций.</w:t>
      </w:r>
    </w:p>
    <w:p>
      <w:pPr>
        <w:spacing w:after="60"/>
        <w:ind w:firstLine="567"/>
        <w:jc w:val="both"/>
      </w:pPr>
      <w:r>
        <w:rPr>
          <w:rFonts w:ascii="Arial" w:cs="Arial" w:eastAsia="Arial" w:hAnsi="Arial"/>
          <w:sz w:val="24"/>
          <w:szCs w:val="24"/>
        </w:rPr>
        <w:t xml:space="preserve">В этих условиях страны члены ЕАЭС проводили экономическую политику, связанную со смягчением воздействия на национальные экономики неблагоприятной внешнеэкономической конъюнктуры путем принятия мер по обеспечению макроэкономической устойчивости и поддержке ряда отраслей и секторов экономики. В результате удалось стабилизировать макроэкономическую ситуацию, сократить волатильность курсов национальных валют и рост уровня инфляции.</w:t>
      </w:r>
    </w:p>
    <w:p>
      <w:pPr>
        <w:spacing w:after="60"/>
        <w:ind w:firstLine="567"/>
        <w:jc w:val="both"/>
      </w:pPr>
      <w:r>
        <w:rPr>
          <w:rFonts w:ascii="Arial" w:cs="Arial" w:eastAsia="Arial" w:hAnsi="Arial"/>
          <w:sz w:val="24"/>
          <w:szCs w:val="24"/>
        </w:rPr>
        <w:t xml:space="preserve">На протяжении 2016 года курс российского рубля демонстрировал устойчивую тенденцию роста, укрепившись на конец года по отношению к доллару США на 16,8%. По итогам 2016 года также укрепились кыргызский сом и казахстанский тенге на 8,8% и 1,8% соответственно. Значительно снизились темпы роста инфляции по сравнению с 2015 годом в Российской Федерации (прирост на 7,1% против 15,5% в 2015 году), небольшое замедление инфляции наблюдалось в Республике Беларусь (на 11,8% против 13,5%).</w:t>
      </w:r>
    </w:p>
    <w:p>
      <w:pPr>
        <w:spacing w:after="60"/>
        <w:ind w:firstLine="567"/>
        <w:jc w:val="both"/>
      </w:pPr>
      <w:r>
        <w:rPr>
          <w:rFonts w:ascii="Arial" w:cs="Arial" w:eastAsia="Arial" w:hAnsi="Arial"/>
          <w:sz w:val="24"/>
          <w:szCs w:val="24"/>
        </w:rPr>
        <w:t xml:space="preserve">Основным фактором, повлиявшим на снижение/замедление темпов экономического роста в государствах-членах ЕАЭС, стал слабый уровень потребительского и инвестиционного спроса и снижение внешнего спроса на товары государств-членов.</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Показатели социально-экономического развития государств-членов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6"/>
        <w:gridCol w:w="1734"/>
        <w:gridCol w:w="2498"/>
      </w:tblGrid>
      <w:tr>
        <w:tc>
          <w:tcPr>
            <w:tcW w:type="dxa" w:w="5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факт</w:t>
            </w:r>
          </w:p>
        </w:tc>
        <w:tc>
          <w:tcPr>
            <w:tcW w:type="dxa" w:w="2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прироста ВВП, в %</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январь-декабрь к январю-декабрю, в %</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5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1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2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bl>
    <w:p>
      <w:pPr>
        <w:spacing w:after="60" w:before="120"/>
        <w:ind w:firstLine="567"/>
        <w:jc w:val="both"/>
      </w:pPr>
      <w:r>
        <w:rPr>
          <w:rFonts w:ascii="Arial" w:cs="Arial" w:eastAsia="Arial" w:hAnsi="Arial"/>
          <w:sz w:val="24"/>
          <w:szCs w:val="24"/>
        </w:rPr>
        <w:t xml:space="preserve">По итогам 2016 года в Российской Федерации и Республике Беларусь сложилась отрицательная динамика экономического роста: -0,2% и -2,6% соответственно, а в Республике Казахстан и Республике Армения рост замедлился до 1,0% и 0,2% соответственно.</w:t>
      </w:r>
    </w:p>
    <w:p>
      <w:pPr>
        <w:spacing w:after="60"/>
        <w:ind w:firstLine="567"/>
        <w:jc w:val="both"/>
      </w:pPr>
      <w:r>
        <w:rPr>
          <w:rFonts w:ascii="Arial" w:cs="Arial" w:eastAsia="Arial" w:hAnsi="Arial"/>
          <w:sz w:val="24"/>
          <w:szCs w:val="24"/>
        </w:rPr>
        <w:t xml:space="preserve">На фоне сложившихся макроэкономических условий в странах - основных торговых партнерах, в 2016 году Кыргызской Республике удалось укрепить национальную валюту (по состоянию на 31 декабря 2016 года на 8,8%), выйти на положительную динамику темпов роста промышленного производства, где наблюдалась за последние два года отрицательная тенденция роста (прирост на 4,9%), выйти на траекторию роста экспорта товаров, который увеличился на 4,2%. Увеличился чистый приток денежных переводов физических лиц, осуществляемых через системы переводов, на 21,6%, которые за 2016 год составили 1634,3 млн. долл. США.</w:t>
      </w:r>
    </w:p>
    <w:p>
      <w:pPr>
        <w:spacing w:after="60"/>
        <w:ind w:firstLine="567"/>
        <w:jc w:val="both"/>
      </w:pPr>
      <w:r>
        <w:rPr>
          <w:rFonts w:ascii="Arial" w:cs="Arial" w:eastAsia="Arial" w:hAnsi="Arial"/>
          <w:sz w:val="24"/>
          <w:szCs w:val="24"/>
        </w:rPr>
        <w:t xml:space="preserve">В течение 2016 года Правительством предпринимались меры, направленные на минимизацию внешних факторов риска, которые связаны со снижением темпов экономического роста в мире и на пространстве ЕАЭС, создание благоприятных условий для развития предпринимательства (снижение административного бремени; проведение фискальной политики, ориентированную на либерализацию; улучшение доступа предпринимателей к финансовым ресурсам; принятие мер по сохранению устойчивости индекса потребительских цен и т.д.).</w:t>
      </w:r>
    </w:p>
    <w:p>
      <w:pPr>
        <w:spacing w:after="60"/>
        <w:ind w:firstLine="567"/>
        <w:jc w:val="both"/>
      </w:pPr>
      <w:r>
        <w:rPr>
          <w:rFonts w:ascii="Arial" w:cs="Arial" w:eastAsia="Arial" w:hAnsi="Arial"/>
          <w:sz w:val="24"/>
          <w:szCs w:val="24"/>
        </w:rPr>
        <w:t xml:space="preserve">Обеспечение макроэкономической и социальной стабильности, совершенствование законодательства в части укрепления национальной валюты и полноценного хождения национальной валюты во всех расчетных операциях, а также сохранение положительной динамики экономического роста активно продвигалось в рамках Плана действий Правительства Кыргызской Республики на 2016 год по реализации Программы Правительства Кыргызской Республики "Стабильность, доверие и новые возможности" (постановление Правительства Кыргызской Республики от 15 января 2016 года № 41), Плана действий Правительства Кыргызской Республики по реализации Программы Правительства Кыргызской Республики "Доверие и единство" на 2016 год (постановление Правительства Кыргызской Республики от 24 августа 2016 года № 456) и Плана антикризисных мероприятий Правительства Кыргызской Республики на 2016 год (постановление Правительства Кыргызской Республики от 12 июля 2016 года № 383).</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обеспечения доступа к финансовым ресурсам малого и среднего бизнеса были приняты следующие меры:</w:t>
      </w:r>
    </w:p>
    <w:p>
      <w:pPr>
        <w:spacing w:after="60"/>
        <w:ind w:firstLine="567"/>
        <w:jc w:val="both"/>
      </w:pPr>
      <w:r>
        <w:rPr>
          <w:rFonts w:ascii="Arial" w:cs="Arial" w:eastAsia="Arial" w:hAnsi="Arial"/>
          <w:sz w:val="24"/>
          <w:szCs w:val="24"/>
        </w:rPr>
        <w:t xml:space="preserve">- реализован проект "Финансирование сельского хозяйства-4" (постановление Правительства Кыргызской Республики от 26 января 2016 года № 25), в рамках которого в 2016 году коммерческими банками выдано 13246 кредита на сумму 4,8 млрд. сомов. В 2016 году из республиканского бюджета на субсидирование направлено 573,4 млн. сомов, из них на второй транш Финансирование сельского хозяйства-3 - 123,9 млн. сомов, на первый транш Финансирование сельского хозяйства-4 - 449,5 млн. сомов. Всего в бюджете было заложено сумма субсидирования на Финансирование сельского хозяйства-4 в размере 849,7 млн. сомов;</w:t>
      </w:r>
    </w:p>
    <w:p>
      <w:pPr>
        <w:spacing w:after="60"/>
        <w:ind w:firstLine="567"/>
        <w:jc w:val="both"/>
      </w:pPr>
      <w:r>
        <w:rPr>
          <w:rFonts w:ascii="Arial" w:cs="Arial" w:eastAsia="Arial" w:hAnsi="Arial"/>
          <w:sz w:val="24"/>
          <w:szCs w:val="24"/>
        </w:rPr>
        <w:t xml:space="preserve">- активизирована деятельность Российско-Кыргызского Фонда развития, где в рамках финансирования, по состоянию на 31 декабря 2016 года, одобрено 637 проектов на сумму 174,5 млн. долл. США, из них на прямое финансирование - 23 проекта на сумму 92,44 млн. долл. США, через коммерческие банки - 614 проектов на сумму 82,108 млн. долл. США;</w:t>
      </w:r>
    </w:p>
    <w:p>
      <w:pPr>
        <w:spacing w:after="60"/>
        <w:ind w:firstLine="567"/>
        <w:jc w:val="both"/>
      </w:pPr>
      <w:r>
        <w:rPr>
          <w:rFonts w:ascii="Arial" w:cs="Arial" w:eastAsia="Arial" w:hAnsi="Arial"/>
          <w:sz w:val="24"/>
          <w:szCs w:val="24"/>
        </w:rPr>
        <w:t xml:space="preserve">- создан Гарантийный фонд (предоставление гарантии предпринимателю на часть необходимой суммы кредита при недостаточности залога), капитал на начало 2017 года составляет 282 млн. сомов (72 млн. сомов - средства, выделенные из республиканского бюджета. При финансовой поддержке Азиатского банка развития (далее - АБР) дополнительно направлены средства - в сумме 3 млн. долл. США). Выдано 11 гарантий на сумму 11965,139 тыс. сомов;</w:t>
      </w:r>
    </w:p>
    <w:p>
      <w:pPr>
        <w:spacing w:after="60"/>
        <w:ind w:firstLine="567"/>
        <w:jc w:val="both"/>
      </w:pPr>
      <w:r>
        <w:rPr>
          <w:rFonts w:ascii="Arial" w:cs="Arial" w:eastAsia="Arial" w:hAnsi="Arial"/>
          <w:sz w:val="24"/>
          <w:szCs w:val="24"/>
        </w:rPr>
        <w:t xml:space="preserve">- создана Государственная ипотечная компания (ГИК), выдано ипотечных кредитов на сумму 1068,3 млн. сомов (886 получателей), процентная ставка снижена до 10%, задействовано 11 банков;</w:t>
      </w:r>
    </w:p>
    <w:p>
      <w:pPr>
        <w:spacing w:after="60"/>
        <w:ind w:firstLine="567"/>
        <w:jc w:val="both"/>
      </w:pPr>
      <w:r>
        <w:rPr>
          <w:rFonts w:ascii="Arial" w:cs="Arial" w:eastAsia="Arial" w:hAnsi="Arial"/>
          <w:sz w:val="24"/>
          <w:szCs w:val="24"/>
        </w:rPr>
        <w:t xml:space="preserve">- создан Фонд финансирования подготовки проектов государственного частного партнерства;</w:t>
      </w:r>
    </w:p>
    <w:p>
      <w:pPr>
        <w:spacing w:after="60"/>
        <w:ind w:firstLine="567"/>
        <w:jc w:val="both"/>
      </w:pPr>
      <w:r>
        <w:rPr>
          <w:rFonts w:ascii="Arial" w:cs="Arial" w:eastAsia="Arial" w:hAnsi="Arial"/>
          <w:sz w:val="24"/>
          <w:szCs w:val="24"/>
        </w:rPr>
        <w:t xml:space="preserve">- разработан новый инструмент финансирования под залог складских расписок;</w:t>
      </w:r>
    </w:p>
    <w:p>
      <w:pPr>
        <w:spacing w:after="60"/>
        <w:ind w:firstLine="567"/>
        <w:jc w:val="both"/>
      </w:pPr>
      <w:r>
        <w:rPr>
          <w:rFonts w:ascii="Arial" w:cs="Arial" w:eastAsia="Arial" w:hAnsi="Arial"/>
          <w:sz w:val="24"/>
          <w:szCs w:val="24"/>
        </w:rPr>
        <w:t xml:space="preserve">- по проектам государственного лизинга выдано 258 единиц различной сельхозтехники на сумму 375,5 млн. сомов, в т.ч. за счет средств Евразийского банка развития (далее - ЕАБР) открытым акционерным обществом (далее - ОАО) "Айыл Банк" выдано в лизинг 203 единицы сельхозтехники на сумму 227,4 млн. сомов (всего по этому проекту выдана в лизинг 391 единица сельхозтехники на сумму 490,3 млн. сомов);</w:t>
      </w:r>
    </w:p>
    <w:p>
      <w:pPr>
        <w:spacing w:after="60"/>
        <w:ind w:firstLine="567"/>
        <w:jc w:val="both"/>
      </w:pPr>
      <w:r>
        <w:rPr>
          <w:rFonts w:ascii="Arial" w:cs="Arial" w:eastAsia="Arial" w:hAnsi="Arial"/>
          <w:sz w:val="24"/>
          <w:szCs w:val="24"/>
        </w:rPr>
        <w:t xml:space="preserve">- для обеспечения эпизоотического благополучия из республиканского бюджета для покупки биопрепаратов в 2016 году выделено 131 млн. сомов, или в 3 раза больше, чем в предыдущие годы.</w:t>
      </w:r>
    </w:p>
    <w:p>
      <w:pPr>
        <w:spacing w:after="60"/>
        <w:ind w:firstLine="567"/>
        <w:jc w:val="both"/>
      </w:pPr>
      <w:r>
        <w:rPr>
          <w:rFonts w:ascii="Arial" w:cs="Arial" w:eastAsia="Arial" w:hAnsi="Arial"/>
          <w:sz w:val="24"/>
          <w:szCs w:val="24"/>
        </w:rPr>
        <w:t xml:space="preserve">Кредит в экономику в 2016 году составил 95,4 млрд. сомов, сократившись за год на 1,0%, главным образом за счет снижения валютной составляющей. Без учета изменения обменного курса кредит в экономику вырос на 4,9%. При этом кредиты в национальной валюте увеличились на 20,6%. Объемы потребительских кредитов выросли на 10,5% за 2016 год по сравнению с 2015 годом, сумма составляет 9622,4 млн. сомов.</w:t>
      </w:r>
    </w:p>
    <w:p>
      <w:pPr>
        <w:spacing w:after="60"/>
        <w:ind w:firstLine="567"/>
        <w:jc w:val="both"/>
      </w:pPr>
      <w:r>
        <w:rPr>
          <w:rFonts w:ascii="Arial" w:cs="Arial" w:eastAsia="Arial" w:hAnsi="Arial"/>
          <w:sz w:val="24"/>
          <w:szCs w:val="24"/>
        </w:rPr>
        <w:t xml:space="preserve">Отмечалось снижение уровня долларизации кредитов банковского сектора с начала года с 55,1% до 44,5%, уровня долларизации депозитов банковского сектора с начала года - с 65,2% до 51,0%.</w:t>
      </w:r>
    </w:p>
    <w:p>
      <w:pPr>
        <w:spacing w:after="60"/>
        <w:ind w:firstLine="567"/>
        <w:jc w:val="both"/>
      </w:pPr>
      <w:r>
        <w:rPr>
          <w:rFonts w:ascii="Arial" w:cs="Arial" w:eastAsia="Arial" w:hAnsi="Arial"/>
          <w:sz w:val="24"/>
          <w:szCs w:val="24"/>
        </w:rPr>
        <w:t xml:space="preserve">Проводилась полномасштабная работа по адаптации к условиям функционирования в ЕАЭС: было принято 35 технических регламентов ЕАЭС, устанавливающих требования к безопасности широкого ассортимента товаров массового спроса; с 12 февраля 2016 года вступили в силу 12 технических регламентов; разработаны подходы к созданию механизма обеспечения прослеживаемости товаров в государствах-членах ЕАЭС; завершена разработка и подписан Таможенный кодекс ЕАЭС; достигнута договоренность между таможенными органами Кыргызской Республики и Республики Казахстан в вопросе снятия таможенного сопровождения кыргызских перевозчиков по территории Республики Казахстан. С 26 октября 2016 года отменен карантинный фитосанитарный контроль (надзор) на кыргызско-казахстанском участке государственной границы, а также временное ограничение на ввоз в Республику Казахстан из Кыргызской Республики подкарантинной продукции; подписан пакет документов, необходимых для запуска общего рынка лекарственных средств в государствах-членах ЕАЭС; 26 декабря 2016 года подписано Соглашение между Кыргызской Республикой и Республикой Казахстан о применении Порядка регулирования доступа к услугам железнодорожного транспорта, включая основы транспортной политики; в рамках финансирования 1 фазы "Дорожной карты" по вступлению Кыргызской Республики в Таможенный союз поступило и функционирует 4 наименования современного оборудования, в том числе жидкостей, атомноабсорбционный и газовый хроматографы; создан информационно-справочный портал и служба "горячей линии" по вопросам ЕАЭС.</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по итогам 2016 года объем валового внутреннего продукта (далее - ВВП) сложился в сумме 458,0 млрд. сомов и реальный темп роста составил 103,8% (в 2015 году реальный рост составлял 103,9%). Дефлятор ВВП сложился на уровне 102,5%. В расчете на душу населения объем ВВП составил 78,7 тыс. сомов и по сравнению с 2015 годом возрос на 4,2%.</w:t>
      </w:r>
    </w:p>
    <w:p>
      <w:pPr>
        <w:spacing w:after="60"/>
        <w:ind w:firstLine="567"/>
        <w:jc w:val="both"/>
      </w:pPr>
      <w:r>
        <w:rPr>
          <w:rFonts w:ascii="Arial" w:cs="Arial" w:eastAsia="Arial" w:hAnsi="Arial"/>
          <w:sz w:val="24"/>
          <w:szCs w:val="24"/>
        </w:rPr>
        <w:t xml:space="preserve">Без учета предприятий по разработке месторождения Кумтор, реальный темп роста ВВП составил 103,7%, в 2015 году показатель составлял 104,9%.</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том числе: в сельском хозяйстве объемы реально возросли на 3,0%, сфере услуг - на 3,0%, строительстве - на 7,4% и промышленности - на 5,2%.</w:t>
      </w:r>
    </w:p>
    <w:p>
      <w:pPr>
        <w:spacing w:after="24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2"/>
        <w:gridCol w:w="1039"/>
        <w:gridCol w:w="1039"/>
        <w:gridCol w:w="1039"/>
        <w:gridCol w:w="1280"/>
        <w:gridCol w:w="1280"/>
        <w:gridCol w:w="1280"/>
        <w:gridCol w:w="1280"/>
      </w:tblGrid>
      <w:tr>
        <w:tc>
          <w:tcPr>
            <w:tcW w:type="dxa" w:w="19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51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430489,4</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103,9</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71916,4</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80027,4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60530,1</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60588,8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36042,0</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39084,7</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211273,7</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227983,1</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19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50727,2</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50343,4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r>
    </w:tbl>
    <w:p>
      <w:pPr>
        <w:spacing w:after="60" w:before="120"/>
        <w:ind w:firstLine="567"/>
        <w:jc w:val="both"/>
      </w:pPr>
      <w:r>
        <w:rPr>
          <w:rFonts w:ascii="Arial" w:cs="Arial" w:eastAsia="Arial" w:hAnsi="Arial"/>
          <w:sz w:val="24"/>
          <w:szCs w:val="24"/>
        </w:rPr>
        <w:t xml:space="preserve">В течение 2016 года инфляция находилась на низком уровне. Общий уровень цен формировался под влиянием снижения цен на продовольственную группу товаров ввиду их большого удельного веса в общей потребительской корзине, отсутствия давления со стороны мировых продовольственных рынков на внутренние цены в результате уровень инфляции сложился на уровне 99,5% (в % к декабрю предыдущего года), а среднегодовое значение - 100,4% (январь-декабрь 2016 года к январю-декабрю 2015 года). Снижение инфляционного давления позволило оказать поддержку мерам, принимаемым правительственными структурами для развития реального сектора экономики.</w:t>
      </w:r>
    </w:p>
    <w:p>
      <w:pPr>
        <w:spacing w:after="24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96"/>
        <w:gridCol w:w="1091"/>
        <w:gridCol w:w="1091"/>
      </w:tblGrid>
      <w:tr>
        <w:tc>
          <w:tcPr>
            <w:tcW w:type="dxa" w:w="79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tcW w:type="dxa" w:w="7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79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bl>
    <w:p>
      <w:pPr>
        <w:spacing w:after="60" w:before="120"/>
        <w:ind w:firstLine="567"/>
        <w:jc w:val="both"/>
      </w:pPr>
      <w:r>
        <w:rPr>
          <w:rFonts w:ascii="Arial" w:cs="Arial" w:eastAsia="Arial" w:hAnsi="Arial"/>
          <w:sz w:val="24"/>
          <w:szCs w:val="24"/>
        </w:rPr>
        <w:t xml:space="preserve">Отмечалось снижение уровня капитализации экономики на 0,5 п.п. до 29,1% в 2016 году. Поступление прямых иностранных инвестиций в 2016 году по сравнению с 2015 годом уменьшилось на 58,4%.</w:t>
      </w:r>
    </w:p>
    <w:p>
      <w:pPr>
        <w:spacing w:after="240" w:before="240"/>
        <w:ind w:firstLine="567"/>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Динамика роста инвестиции в основной капитал за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4"/>
        <w:gridCol w:w="1993"/>
        <w:gridCol w:w="2871"/>
      </w:tblGrid>
      <w:tr>
        <w:tc>
          <w:tcPr>
            <w:tcW w:type="dxa" w:w="53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факт</w:t>
            </w:r>
          </w:p>
        </w:tc>
        <w:tc>
          <w:tcPr>
            <w:tcW w:type="dxa" w:w="2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r>
      <w:tr>
        <w:tc>
          <w:tcPr>
            <w:tcW w:type="dxa" w:w="5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127321,8</w:t>
            </w:r>
          </w:p>
        </w:tc>
        <w:tc>
          <w:tcPr>
            <w:tcW w:type="dxa" w:w="2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133383,7</w:t>
            </w:r>
          </w:p>
        </w:tc>
      </w:tr>
      <w:tr>
        <w:tc>
          <w:tcPr>
            <w:tcW w:type="dxa" w:w="5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2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2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r>
    </w:tbl>
    <w:p>
      <w:pPr>
        <w:spacing w:after="60" w:before="120"/>
        <w:ind w:firstLine="567"/>
        <w:jc w:val="both"/>
      </w:pPr>
      <w:r>
        <w:rPr>
          <w:rFonts w:ascii="Arial" w:cs="Arial" w:eastAsia="Arial" w:hAnsi="Arial"/>
          <w:sz w:val="24"/>
          <w:szCs w:val="24"/>
        </w:rPr>
        <w:t xml:space="preserve">Дефицит государственного бюджета за 2016 год составил 4,6% к ВВП против 1,4% в 2015 году. Его покрытие осуществлялось преимущественно за счет внешних источников.</w:t>
      </w:r>
    </w:p>
    <w:p>
      <w:pPr>
        <w:spacing w:after="60"/>
        <w:ind w:firstLine="567"/>
        <w:jc w:val="both"/>
      </w:pPr>
      <w:r>
        <w:rPr>
          <w:rFonts w:ascii="Arial" w:cs="Arial" w:eastAsia="Arial" w:hAnsi="Arial"/>
          <w:sz w:val="24"/>
          <w:szCs w:val="24"/>
        </w:rPr>
        <w:t xml:space="preserve">По состоянию на 31 декабря 2016 года размер государственного долга составлял 281450,92 млн. сомов (4065,44 млн. долл. США). Уровень государственного внешнего долга к ВВП на 2016 год сократился на 6,9%. Так, если уровень государственного внешнего долга по отношению к ВВП на 2015 год составлял 63,6%, то в 2016 году 56,6%. Структура государственного долга не претерпела сильных изменений: более 92,1% составляет внешний долг. По итогам 2016 года уровень государственного долга к ВВП составил 61,4%.</w:t>
      </w:r>
    </w:p>
    <w:p>
      <w:pPr>
        <w:spacing w:after="60"/>
        <w:ind w:firstLine="567"/>
        <w:jc w:val="both"/>
      </w:pPr>
      <w:r>
        <w:rPr>
          <w:rFonts w:ascii="Arial" w:cs="Arial" w:eastAsia="Arial" w:hAnsi="Arial"/>
          <w:sz w:val="24"/>
          <w:szCs w:val="24"/>
        </w:rPr>
        <w:t xml:space="preserve">На фоне сложившихся макроэкономических показателей социальные показатели в Кыргызской Республике сложились следующим образом: среднемесячная номинальная заработная плата одного работника в 2016 году (без учета малых предприятий) составила 14492,0 сома и по сравнению с 2015 годом увеличилась на 9,8%, а ее реальный размер, исчисленный с учетом индекса потребительских цен, возрос на 9,4%, что в 3 раза покрывает величину прожиточного минимума. Среднегодовая величина прожиточного минимума в 2016 году составила 4794,3 сома.</w:t>
      </w:r>
    </w:p>
    <w:p>
      <w:pPr>
        <w:spacing w:after="60"/>
        <w:ind w:firstLine="567"/>
        <w:jc w:val="both"/>
      </w:pPr>
      <w:r>
        <w:rPr>
          <w:rFonts w:ascii="Arial" w:cs="Arial" w:eastAsia="Arial" w:hAnsi="Arial"/>
          <w:sz w:val="24"/>
          <w:szCs w:val="24"/>
        </w:rPr>
        <w:t xml:space="preserve">Средний размер пенсии в 2016 году составил 5078 сомов (118,0% от прожиточного минимума пенсионера).</w:t>
      </w:r>
    </w:p>
    <w:p>
      <w:pPr>
        <w:spacing w:after="60"/>
        <w:ind w:firstLine="567"/>
        <w:jc w:val="both"/>
      </w:pPr>
      <w:r>
        <w:rPr>
          <w:rFonts w:ascii="Arial" w:cs="Arial" w:eastAsia="Arial" w:hAnsi="Arial"/>
          <w:sz w:val="24"/>
          <w:szCs w:val="24"/>
        </w:rPr>
        <w:t xml:space="preserve">В целях поддержки жизненного уровня пенсионеров произведено повышение пенсии с 1 октября 2016 года (постановление Правительства Кыргызской Республики от 23 сентября 2016 года № 502). На момент повышения средний размер пенсии по республике составлял 4651 сом, по итогам повышения средний размер пенсий составил 5142 сома и возрос в среднем на 10,5%. В целях повышения уровня социальной защищенности малообеспеченных семей с 1 октября 2016 года размер гарантированного минимального дохода (ГМД), на основании которого определяется нуждаемость семей в ежемесячных пособиях малообеспеченным семьям (далее - ЕПМС), повысился с 810 до 900 сомов, установленный размер ЕПМС увеличен с 705 до 810 сомов.</w:t>
      </w:r>
    </w:p>
    <w:p>
      <w:pPr>
        <w:spacing w:after="60"/>
        <w:ind w:firstLine="567"/>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предпринимаемых совместных действий Правительства и Национального банка достигнута положительная динамика экономического роста в 2016 году, выполнены запланированные социальные обязательства в полном объеме.</w:t>
      </w:r>
    </w:p>
    <w:p>
      <w:pPr>
        <w:spacing w:after="200" w:before="200"/>
        <w:jc w:val="center"/>
      </w:pPr>
      <w:r>
        <w:rPr>
          <w:rFonts w:ascii="Arial" w:cs="Arial" w:eastAsia="Arial" w:hAnsi="Arial"/>
          <w:b/>
          <w:bCs/>
          <w:sz w:val="24"/>
          <w:szCs w:val="24"/>
        </w:rPr>
        <w:t xml:space="preserve">3. Факторы и условия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Ожидаемое экономическое развитие в 2017 году и прогноз на среднесрочный период базируются на гипотезе сохранения внешних и внутренних факторов/рисков, которые будут оказывать влияние на развитие экономики страны и происходить в условиях восстановления экономик стран - основных торговых партнеров, функционирования Кыргызской Республики в ЕАЭС.</w:t>
      </w:r>
    </w:p>
    <w:p>
      <w:pPr>
        <w:spacing w:after="60"/>
        <w:ind w:firstLine="567"/>
        <w:jc w:val="both"/>
      </w:pPr>
      <w:r>
        <w:rPr>
          <w:rFonts w:ascii="Arial" w:cs="Arial" w:eastAsia="Arial" w:hAnsi="Arial"/>
          <w:sz w:val="24"/>
          <w:szCs w:val="24"/>
        </w:rPr>
        <w:t xml:space="preserve">В среднесрочной перспективе продолжат оказывать влияние следующие факторы:</w:t>
      </w:r>
    </w:p>
    <w:p>
      <w:pPr>
        <w:spacing w:after="60"/>
        <w:ind w:firstLine="567"/>
        <w:jc w:val="both"/>
      </w:pPr>
      <w:r>
        <w:rPr>
          <w:rFonts w:ascii="Arial" w:cs="Arial" w:eastAsia="Arial" w:hAnsi="Arial"/>
          <w:sz w:val="24"/>
          <w:szCs w:val="24"/>
        </w:rPr>
        <w:t xml:space="preserve">- неустойчивость развития мировой экономики;</w:t>
      </w:r>
    </w:p>
    <w:p>
      <w:pPr>
        <w:spacing w:after="60"/>
        <w:ind w:firstLine="567"/>
        <w:jc w:val="both"/>
      </w:pPr>
      <w:r>
        <w:rPr>
          <w:rFonts w:ascii="Arial" w:cs="Arial" w:eastAsia="Arial" w:hAnsi="Arial"/>
          <w:sz w:val="24"/>
          <w:szCs w:val="24"/>
        </w:rPr>
        <w:t xml:space="preserve">- тенденция медленного восстановления экономического роста в странах-членах ЕАЭС и основных торговых партнерах;</w:t>
      </w:r>
    </w:p>
    <w:p>
      <w:pPr>
        <w:spacing w:after="60"/>
        <w:ind w:firstLine="567"/>
        <w:jc w:val="both"/>
      </w:pPr>
      <w:r>
        <w:rPr>
          <w:rFonts w:ascii="Arial" w:cs="Arial" w:eastAsia="Arial" w:hAnsi="Arial"/>
          <w:sz w:val="24"/>
          <w:szCs w:val="24"/>
        </w:rPr>
        <w:t xml:space="preserve">- сохранение геополитической напряженности (продолжение экономических санкций в отношении Российской Федерации, продолжающаяся неблагоприятная геополитическая ситуация в Украине, Сирии, Турции и в целом на Ближнем Востоке являются дополнительным риском через вторичные каналы внешней торговли и поступление/отток капитала);</w:t>
      </w:r>
    </w:p>
    <w:p>
      <w:pPr>
        <w:spacing w:after="60"/>
        <w:ind w:firstLine="567"/>
        <w:jc w:val="both"/>
      </w:pPr>
      <w:r>
        <w:rPr>
          <w:rFonts w:ascii="Arial" w:cs="Arial" w:eastAsia="Arial" w:hAnsi="Arial"/>
          <w:sz w:val="24"/>
          <w:szCs w:val="24"/>
        </w:rPr>
        <w:t xml:space="preserve">- волатильность обменного курса доллара и рубля по отношению к сому за счет укрепления позиции доллара, связанного с изменением денежно-кредитной политики США, где Федеральной резервной системой США (далее - ФРС) по итогам заседания 14-15 марта 2017 года принято решение о повышении целевого диапазона процентной ставки по федеральным кредитным средствам на 0,25 п.п. до 0,75-1% годовых. В 2017 году ФРС ожидает два повышения базовой процентной ставки и 3 раза в течение 2018 года);</w:t>
      </w:r>
    </w:p>
    <w:p>
      <w:pPr>
        <w:spacing w:after="60"/>
        <w:ind w:firstLine="567"/>
        <w:jc w:val="both"/>
      </w:pPr>
      <w:r>
        <w:rPr>
          <w:rFonts w:ascii="Arial" w:cs="Arial" w:eastAsia="Arial" w:hAnsi="Arial"/>
          <w:sz w:val="24"/>
          <w:szCs w:val="24"/>
        </w:rPr>
        <w:t xml:space="preserve">- неустойчивость мировых цен на сырьевые товары (высокая волатильность цен на сырую нефть, золото, ртуть, медь и т.д.);</w:t>
      </w:r>
    </w:p>
    <w:p>
      <w:pPr>
        <w:spacing w:after="60"/>
        <w:ind w:firstLine="567"/>
        <w:jc w:val="both"/>
      </w:pPr>
      <w:r>
        <w:rPr>
          <w:rFonts w:ascii="Arial" w:cs="Arial" w:eastAsia="Arial" w:hAnsi="Arial"/>
          <w:sz w:val="24"/>
          <w:szCs w:val="24"/>
        </w:rPr>
        <w:t xml:space="preserve">- риск сохранения отдельных таможенных барьеров, задержка открытия ветеринарных постов, неполный учет движения товаров в связи с открытием границ и т.д.;</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инфляционные ожидания населения (возможное увеличение цен на газ в соответствие с Методикой определения себестоимости для формирования тарифов на природный газ (приказ Государственного агентства по регулированию топливно-энергетического комплекса при Правительстве Кыргызской Республики от 8 декабря 2016 года № 5), на электрическую и тепловую энергию в рамках разрабатываемой концепции тарифной политики на среднесрочный период, начиная с 2018 года);</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Сохранение факторов негативного влияния на экономики государств-членов ЕАЭС и рисков распространения кризисных явлений может оказывать влияние на устойчивое экономическое развитие.</w:t>
      </w:r>
    </w:p>
    <w:p>
      <w:pPr>
        <w:spacing w:after="60"/>
        <w:ind w:firstLine="567"/>
        <w:jc w:val="both"/>
      </w:pPr>
      <w:r>
        <w:rPr>
          <w:rFonts w:ascii="Arial" w:cs="Arial" w:eastAsia="Arial" w:hAnsi="Arial"/>
          <w:sz w:val="24"/>
          <w:szCs w:val="24"/>
        </w:rPr>
        <w:t xml:space="preserve">Учитывая текущую динамику восстановительных процессов и повышения устойчивости экономики к колебаниям внешнеэкономической конъюнктуры, на 2017 год экономический рост в Российской Федерации был пересмотрен в сторону увеличения с 0,8% до 1,5-2%(2). В 2018-2019 годах ожидается рост на 1-2% вместо прогнозируемого в 1,5-2%(3); в Республике Казахстан в 2017 году с 1,9% до 2,5%(4), на 2018 год прогноз остался на том же уровне, что и в августе 2016 года, и составляет 2,1%.</w:t>
      </w:r>
    </w:p>
    <w:p>
      <w:pPr>
        <w:spacing w:after="60"/>
        <w:ind w:firstLine="567"/>
        <w:jc w:val="both"/>
      </w:pPr>
      <w:r>
        <w:rPr>
          <w:rFonts w:ascii="Arial" w:cs="Arial" w:eastAsia="Arial" w:hAnsi="Arial"/>
          <w:sz w:val="24"/>
          <w:szCs w:val="24"/>
        </w:rPr>
        <w:t xml:space="preserve">Рост мирового ВВП на 2017 и 2018 годы остался на том же уровне - 3,4% и 3,6% соответственно, еврозоны пересмотрен в сторону увеличения - с 1,5% до 1,6%, на 2018 год остался на прежнем уровне - 1,6%. Однако по данным Всемирного банка, рост мирового ВВП пересмотрен в сторону снижения в 2017 году с 2,8% до 2,7%, на 2018 год - с 3,0% до 2,9%; а еврозоны остался на прежнем уровне - 1,5% и 1,4% соответственно.</w:t>
      </w:r>
    </w:p>
    <w:p>
      <w:pPr>
        <w:spacing w:after="60"/>
        <w:ind w:firstLine="567"/>
        <w:jc w:val="both"/>
      </w:pPr>
      <w:r>
        <w:rPr>
          <w:rFonts w:ascii="Arial" w:cs="Arial" w:eastAsia="Arial" w:hAnsi="Arial"/>
          <w:sz w:val="24"/>
          <w:szCs w:val="24"/>
        </w:rPr>
        <w:t xml:space="preserve">Согласно прогнозам в 2017 году в Китае будет продолжаться замедление роста экономики до уровня 6,5% с последующим снижением в 2018 году до 6,0%.</w:t>
      </w:r>
    </w:p>
    <w:p>
      <w:pPr>
        <w:spacing w:after="60"/>
        <w:ind w:firstLine="567"/>
        <w:jc w:val="both"/>
      </w:pPr>
      <w:r>
        <w:rPr>
          <w:rFonts w:ascii="Arial" w:cs="Arial" w:eastAsia="Arial" w:hAnsi="Arial"/>
          <w:sz w:val="24"/>
          <w:szCs w:val="24"/>
        </w:rPr>
        <w:t xml:space="preserve">По оценке международных институтов, экономический рост в странах членах ЕАЭС тоже пересмотрен (пересмотр январь 2017 года): в сторону увеличения в Российской Федерации в 2017 году на 0,1 п.п. (с 101,4% до 101,5%), в 2018 году прогнозируется на прежнем уровне - 1,7% и Республике Беларусь в 2017 году на 0,5 п.п. (с 99,0% до 99,5%), в 2018 году - 1,0 п.п. (с 100,3% до 101,3%); в сторону снижения в Республике Казахстан в 2017 году на 0,4 п.п. (с 101,9% до 101,5%), в 2018 году - на 2 п.п. (с 103,7% до 101,7%) и Республике Армения в 2017 году - на 0,1 п.п. (с 102,8% до 102,7%), в 2018 году наоборот в сторону улучшения на 0,1 п.п. (с 102,9% до 103,0%).</w:t>
      </w:r>
    </w:p>
    <w:p>
      <w:pPr>
        <w:spacing w:after="60"/>
        <w:ind w:firstLine="567"/>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Сравнительная таблица оценки институтами экономического роста
 мировой экономики и отдельных стран на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0"/>
        <w:gridCol w:w="1381"/>
        <w:gridCol w:w="1592"/>
        <w:gridCol w:w="1385"/>
        <w:gridCol w:w="1220"/>
        <w:gridCol w:w="1220"/>
      </w:tblGrid>
      <w:tr>
        <w:tc>
          <w:tcPr>
            <w:tcW w:type="dxa" w:w="33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tc>
        <w:tc>
          <w:tcPr>
            <w:tcW w:type="dxa" w:w="13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пересмотра</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w:t>
            </w:r>
          </w:p>
        </w:tc>
        <w:tc>
          <w:tcPr>
            <w:tcW w:type="dxa" w:w="13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c>
          <w:tcPr>
            <w:tcW w:type="dxa" w:w="1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2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Мир</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Еврозона</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Китай</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Российской Федерации</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06.05.2016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Российская Федерация</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24.11.2016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27.02.2017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101,5-102,0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101,0-102,0(5)</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национальной экономики Республики Казахстан</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 Казахстан</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 Беларусь</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 Армения</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2016 года</w:t>
            </w:r>
          </w:p>
        </w:tc>
        <w:tc>
          <w:tcPr>
            <w:tcW w:type="dxa" w:w="15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Кыргызская Республика</w:t>
            </w:r>
          </w:p>
        </w:tc>
        <w:tc>
          <w:tcPr>
            <w:tcW w:type="dxa" w:w="13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vMerge w:val="continue"/>
            <w:tcBorders>
              <w:top w:val="none" w:color="auto" w:sz="0"/>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bl>
    <w:p>
      <w:pPr>
        <w:spacing w:after="60" w:before="120"/>
        <w:ind w:firstLine="567"/>
        <w:jc w:val="both"/>
      </w:pPr>
      <w:r>
        <w:rPr>
          <w:rFonts w:ascii="Arial" w:cs="Arial" w:eastAsia="Arial" w:hAnsi="Arial"/>
          <w:sz w:val="24"/>
          <w:szCs w:val="24"/>
        </w:rPr>
        <w:t xml:space="preserve">Мировая экономика. В среднесрочной перспективе прогнозируется умеренный рост мировой экономики, на темпы роста мировой экономики в 2017 году продолжит влиять слабый экономический рост в развитых странах, обусловленный сохранением низкого уровня цен на биржевые товары, слабыми показателями глобальной торговли и сокращением потоков капитала. Однако в 2017-2018 годах ожидается оживление экономической активности, особенно в странах с формирующимся рынком и развивающихся странах. Мировой рост, по данным МВФ, в 2017 году ожидается на уровне 3,4%, в 2018 году прогнозируется на уровне 3,6%.</w:t>
      </w:r>
    </w:p>
    <w:p>
      <w:pPr>
        <w:spacing w:after="60"/>
        <w:ind w:firstLine="567"/>
        <w:jc w:val="both"/>
      </w:pPr>
      <w:r>
        <w:rPr>
          <w:rFonts w:ascii="Arial" w:cs="Arial" w:eastAsia="Arial" w:hAnsi="Arial"/>
          <w:sz w:val="24"/>
          <w:szCs w:val="24"/>
        </w:rPr>
        <w:t xml:space="preserve">Предположительно до 2018 года сохраняются риски значительного замедления в развивающихся странах, зависящих от иностранного капитала и обладающих дефицитом счета текущих операций и неустойчивыми балансами.</w:t>
      </w:r>
    </w:p>
    <w:p>
      <w:pPr>
        <w:spacing w:after="60"/>
        <w:ind w:firstLine="567"/>
        <w:jc w:val="both"/>
      </w:pPr>
      <w:r>
        <w:rPr>
          <w:rFonts w:ascii="Arial" w:cs="Arial" w:eastAsia="Arial" w:hAnsi="Arial"/>
          <w:sz w:val="24"/>
          <w:szCs w:val="24"/>
        </w:rPr>
        <w:t xml:space="preserve">В экономиках развитых стран темпы роста в 2017-2019 годах вернутся на уровень 1,8% в год на фоне исчерпания тенденции постепенного ускорения роста, наблюдавшейся в 2013-2015 годах под влиянием мягкой монетарной политики ключевых регуляторов и умеренной консолидации балансов.</w:t>
      </w:r>
    </w:p>
    <w:p>
      <w:pPr>
        <w:spacing w:after="60"/>
        <w:ind w:firstLine="567"/>
        <w:jc w:val="both"/>
      </w:pPr>
      <w:r>
        <w:rPr>
          <w:rFonts w:ascii="Arial" w:cs="Arial" w:eastAsia="Arial" w:hAnsi="Arial"/>
          <w:sz w:val="24"/>
          <w:szCs w:val="24"/>
        </w:rPr>
        <w:t xml:space="preserve">Еврозона. Положительные тенденции в странах Еврозоны продолжатся на фоне проводимой денежно-кредитной и фискальной политики, направленной на стимулирование роста деловой активности и экономики в целом. Однако сдерживающими факторами для европейской экономики будут высокая суверенная долговая нагрузка, большая доля безработного населения, а высокая социальная нагрузка на факторы труда, препятствующая повышению производительности и конкурентоспособности, будет поддерживать пессимизм инвесторов. Кроме того, присутствует риск в производственном секторе европейского региона - усиление дефляционного давления, разогреваемое недостаточным спросом, что продолжит сокращать выпуск и налоговую базу бюджетов.</w:t>
      </w:r>
    </w:p>
    <w:p>
      <w:pPr>
        <w:spacing w:after="60"/>
        <w:ind w:firstLine="567"/>
        <w:jc w:val="both"/>
      </w:pPr>
      <w:r>
        <w:rPr>
          <w:rFonts w:ascii="Arial" w:cs="Arial" w:eastAsia="Arial" w:hAnsi="Arial"/>
          <w:sz w:val="24"/>
          <w:szCs w:val="24"/>
        </w:rPr>
        <w:t xml:space="preserve">Китай. Предполагается, что экономический рост в Китае сохранит траекторию плавного снижения, что может оказать дестабилизирующее влияние на финансовые системы ведущих стран, объемы мировой торговли и динамику цен на товарных рынках и оказать негативное влияние на спрос на глобальных рынках ресурсов и экономики развивающихся стран-экспортеров. При этом ожидается, что макроэкономическая политика будет поддерживать внутренние драйверы роста несмотря на слабый внешний спрос, низкий уровень частных инвестиций, а также наличие избыточных мощностей в некоторых отраслях. Кроме того, продолжающееся использование Китаем мер стимулирования экономики при росте кредита и медленном решении вопроса проблемы долга предприятий может привести к риску еще большего замедления.</w:t>
      </w:r>
    </w:p>
    <w:p>
      <w:pPr>
        <w:spacing w:after="60"/>
        <w:ind w:firstLine="567"/>
        <w:jc w:val="both"/>
      </w:pPr>
      <w:r>
        <w:rPr>
          <w:rFonts w:ascii="Arial" w:cs="Arial" w:eastAsia="Arial" w:hAnsi="Arial"/>
          <w:sz w:val="24"/>
          <w:szCs w:val="24"/>
        </w:rPr>
        <w:t xml:space="preserve">Российская Федерация. Внешние факторы, включая низкие мировые цены на нефть, а также геополитическую обстановку, увеличили замедление темпов роста экономики России. Однако, наряду с сохранением действия негативных факторов, в среднесрочной перспективе ожидается проявление факторов, которые будут оказывать компенсирующее и стимулирующее воздействие на экономический рост (адаптация экономики Российской Федерации к ограничениям импорта товаров, развитие импортозамещения, уменьшение издержек, повышение конкурентоспособности российской продукции). Ожидается постепенное восстановление потребительского спроса с учетом роста доходов населения в 2017-2019 годах, оживление розничной торговли.</w:t>
      </w:r>
    </w:p>
    <w:p>
      <w:pPr>
        <w:spacing w:after="60"/>
        <w:ind w:firstLine="567"/>
        <w:jc w:val="both"/>
      </w:pPr>
      <w:r>
        <w:rPr>
          <w:rFonts w:ascii="Arial" w:cs="Arial" w:eastAsia="Arial" w:hAnsi="Arial"/>
          <w:sz w:val="24"/>
          <w:szCs w:val="24"/>
        </w:rPr>
        <w:t xml:space="preserve">Республика Казахстан. В связи с неблагоприятной динамикой цен на нефть на мировых товарных рынках, текущей экономической ситуацией в России и замедлением экономического роста в Китае социально-экономическое развитие страны будет характеризоваться умеренными темпами роста. В то же время ожидается устойчивая и поступательная экономическая динамика за счет возрастания государственных инвестиций в инфраструктуру и постепенного восстановления спроса. Из-за возможного сохранения низких цен на энергоресурсы и металлы с сопутствующим снижением внешнего спроса рост экономики в 2017-2020 годах будет опираться на внутренний спрос.</w:t>
      </w:r>
    </w:p>
    <w:p>
      <w:pPr>
        <w:spacing w:after="60"/>
        <w:ind w:firstLine="567"/>
        <w:jc w:val="both"/>
      </w:pPr>
      <w:r>
        <w:rPr>
          <w:rFonts w:ascii="Arial" w:cs="Arial" w:eastAsia="Arial" w:hAnsi="Arial"/>
          <w:sz w:val="24"/>
          <w:szCs w:val="24"/>
        </w:rPr>
        <w:t xml:space="preserve">Мировой рынок нефти. Несмотря на волатильность, наблюдающуюся в последние годы на рынке нефти, учитывая рост спроса в Азии, продолжающуюся ребалансировку рынка, успешный ход выполнения соглашения стран ОПЕК и стран, не входящих в нефтяной картель, по сокращению добычи нефти (если программа сокращения добычи будет реализована в полном объеме, эти соглашения помогут вернуть запасы сырой нефти к историческому балансу в течение первой половины 2017 года. Если соглашения по сокращению добычи будут соблюдены и во второй половине 2017 года, сокращение запасов может привести к ужесточению условий на рынке), мировые цены на "черное золото" в 2017 году ожидаются на уровне 50-60 долл. США за баррель, но могут и опуститься до 40 долл. США за баррель из-за замедления глобальной экономики. На фоне таких предпосылок многими экспертами и международными организациями также сохраняется позитивный прогноз. К примеру:</w:t>
      </w:r>
    </w:p>
    <w:p>
      <w:pPr>
        <w:spacing w:after="60"/>
        <w:ind w:firstLine="567"/>
        <w:jc w:val="both"/>
      </w:pPr>
      <w:r>
        <w:rPr>
          <w:rFonts w:ascii="Arial" w:cs="Arial" w:eastAsia="Arial" w:hAnsi="Arial"/>
          <w:sz w:val="24"/>
          <w:szCs w:val="24"/>
        </w:rPr>
        <w:t xml:space="preserve">- Всемирный банк улучшил прогноз по ценам на нефть в 2017 году с 50 до 55 долл. США за баррель. При этом, средняя цена трех сортов нефти (Dubai, Brent и WTI) вырастет в 2017 году на 35,2% по сравнению с 2016 годом. В 2018 году рост нефтяных котировок составит 8,4%, а в 2019 году - 4,6%;</w:t>
      </w:r>
    </w:p>
    <w:p>
      <w:pPr>
        <w:spacing w:after="60"/>
        <w:ind w:firstLine="567"/>
        <w:jc w:val="both"/>
      </w:pPr>
      <w:r>
        <w:rPr>
          <w:rFonts w:ascii="Arial" w:cs="Arial" w:eastAsia="Arial" w:hAnsi="Arial"/>
          <w:sz w:val="24"/>
          <w:szCs w:val="24"/>
        </w:rPr>
        <w:t xml:space="preserve">- Международный валютный фонд ожидает цену на нефть марки Brent на уровне 51,2 долл. США за баррель в 2017 году и 53,0 долл. США за баррель в 2018 году;</w:t>
      </w:r>
    </w:p>
    <w:p>
      <w:pPr>
        <w:spacing w:after="60"/>
        <w:ind w:firstLine="567"/>
        <w:jc w:val="both"/>
      </w:pPr>
      <w:r>
        <w:rPr>
          <w:rFonts w:ascii="Arial" w:cs="Arial" w:eastAsia="Arial" w:hAnsi="Arial"/>
          <w:sz w:val="24"/>
          <w:szCs w:val="24"/>
        </w:rPr>
        <w:t xml:space="preserve">- согласно данным Министерства энергетики США, повышен прогноз добычи нефти на 2017 год с 8,98 млн. до 9,21 млн. баррелей в сутки. Прогноз на 2018 год был повышен с 9,53 млн. до 9,73 млн. баррелей в сутки. По новым оценкам, средняя цена нефти WTI в текущем году составит 53,49 долл. США за баррель, Brent - 54,62 долл. США за баррель;</w:t>
      </w:r>
    </w:p>
    <w:p>
      <w:pPr>
        <w:spacing w:after="60"/>
        <w:ind w:firstLine="567"/>
        <w:jc w:val="both"/>
      </w:pPr>
      <w:r>
        <w:rPr>
          <w:rFonts w:ascii="Arial" w:cs="Arial" w:eastAsia="Arial" w:hAnsi="Arial"/>
          <w:sz w:val="24"/>
          <w:szCs w:val="24"/>
        </w:rPr>
        <w:t xml:space="preserve">- Международное рейтинговое агентство Moody's Investors Service изменило прогноз по глобальному нефтегазовому сектору со "стабильного" на "положительный" на фоне роста прибыльности в нефтегазовом секторе. Предполагается, что рост прибыли глобальной нефтегазовой отрасли составит 13-18% в 2017 году, цены на нефть останутся на уровне 40-60 долл. США за баррель;</w:t>
      </w:r>
    </w:p>
    <w:p>
      <w:pPr>
        <w:spacing w:after="60"/>
        <w:ind w:firstLine="567"/>
        <w:jc w:val="both"/>
      </w:pPr>
      <w:r>
        <w:rPr>
          <w:rFonts w:ascii="Arial" w:cs="Arial" w:eastAsia="Arial" w:hAnsi="Arial"/>
          <w:sz w:val="24"/>
          <w:szCs w:val="24"/>
        </w:rPr>
        <w:t xml:space="preserve">- эксперты Citigroup прогнозируют в первом и втором кварталах 2017 года цену на нефть марки Brent на уровне 55-56 долл. США за баррель, на конец года на уровне - 60-65 долл. США за баррель.</w:t>
      </w:r>
    </w:p>
    <w:p>
      <w:pPr>
        <w:spacing w:after="60"/>
        <w:ind w:firstLine="567"/>
        <w:jc w:val="both"/>
      </w:pPr>
      <w:r>
        <w:rPr>
          <w:rFonts w:ascii="Arial" w:cs="Arial" w:eastAsia="Arial" w:hAnsi="Arial"/>
          <w:sz w:val="24"/>
          <w:szCs w:val="24"/>
        </w:rPr>
        <w:t xml:space="preserve">Присутствует риск того, что спрос на нефть в течение следующих пяти лет будет расти медленно, в основном его будут стимулировать развивающиеся рынки, и цены на нефть могут снизиться на фоне роста добычи сланцевой нефти в США, укрепления доллара и ценовых войн.</w:t>
      </w:r>
    </w:p>
    <w:p>
      <w:pPr>
        <w:spacing w:after="60"/>
        <w:ind w:firstLine="567"/>
        <w:jc w:val="both"/>
      </w:pPr>
      <w:r>
        <w:rPr>
          <w:rFonts w:ascii="Arial" w:cs="Arial" w:eastAsia="Arial" w:hAnsi="Arial"/>
          <w:sz w:val="24"/>
          <w:szCs w:val="24"/>
        </w:rPr>
        <w:t xml:space="preserve">Мировой рынок золота. Для рынка драгоценных металлов, в том числе на золото, характерно влияние экономических рисков, геополитической обстановки, колебания на валютном рынке и т.д.</w:t>
      </w:r>
    </w:p>
    <w:p>
      <w:pPr>
        <w:spacing w:after="60"/>
        <w:ind w:firstLine="567"/>
        <w:jc w:val="both"/>
      </w:pPr>
      <w:r>
        <w:rPr>
          <w:rFonts w:ascii="Arial" w:cs="Arial" w:eastAsia="Arial" w:hAnsi="Arial"/>
          <w:sz w:val="24"/>
          <w:szCs w:val="24"/>
        </w:rPr>
        <w:t xml:space="preserve">В последнее время неопределенность вышеотмеченных событий оказывает позитивное влияние на повышение цен на золото. Отражением чего стало повышение средних цен с начала 2017 года на 3,0% по сравнению с соответствующим периодом 2016 года, составив 1214 долл. США за тройскую унцию. В 2016 году средняя цена на золото составила 1251 долл. США за тройскую унцию и была выше на 7,9% уровня цен 2015 года. Это максимальный средний рост в процентном выражении с 2013 года.</w:t>
      </w:r>
    </w:p>
    <w:p>
      <w:pPr>
        <w:spacing w:after="60"/>
        <w:ind w:firstLine="567"/>
        <w:jc w:val="both"/>
      </w:pPr>
      <w:r>
        <w:rPr>
          <w:rFonts w:ascii="Arial" w:cs="Arial" w:eastAsia="Arial" w:hAnsi="Arial"/>
          <w:sz w:val="24"/>
          <w:szCs w:val="24"/>
        </w:rPr>
        <w:t xml:space="preserve">В кратко- и среднесрочном горизонте глобальные экономические и политические тенденции по-прежнему будут определять развитие мирового рынка золота. По состоянию на 23 марта 2017 года цены на золото поднялись до уровня 1249 долл. США(7) за тройскую унцию.</w:t>
      </w:r>
    </w:p>
    <w:p>
      <w:pPr>
        <w:spacing w:after="60"/>
        <w:ind w:firstLine="567"/>
        <w:jc w:val="both"/>
      </w:pPr>
      <w:r>
        <w:rPr>
          <w:rFonts w:ascii="Arial" w:cs="Arial" w:eastAsia="Arial" w:hAnsi="Arial"/>
          <w:sz w:val="24"/>
          <w:szCs w:val="24"/>
        </w:rPr>
        <w:t xml:space="preserve">Значительную поддержку цене оказало решение ФРС, на заседании 14-15 марта 2017 года, о трехкратном повышении процентной ставки в 2017 году вместо четырех как ожидалось ранее.</w:t>
      </w:r>
    </w:p>
    <w:p>
      <w:pPr>
        <w:spacing w:after="60"/>
        <w:ind w:firstLine="567"/>
        <w:jc w:val="both"/>
      </w:pPr>
      <w:r>
        <w:rPr>
          <w:rFonts w:ascii="Arial" w:cs="Arial" w:eastAsia="Arial" w:hAnsi="Arial"/>
          <w:sz w:val="24"/>
          <w:szCs w:val="24"/>
        </w:rPr>
        <w:t xml:space="preserve">Кроме этого текущая тенденция к повышению цен поддерживается ростом уровня инфляции в США, который в феврале 2017 года вырос на 2,7%, тогда как целевой уровень составлял 2,0%.</w:t>
      </w:r>
    </w:p>
    <w:p>
      <w:pPr>
        <w:spacing w:after="60"/>
        <w:ind w:firstLine="567"/>
        <w:jc w:val="both"/>
      </w:pPr>
      <w:r>
        <w:rPr>
          <w:rFonts w:ascii="Arial" w:cs="Arial" w:eastAsia="Arial" w:hAnsi="Arial"/>
          <w:sz w:val="24"/>
          <w:szCs w:val="24"/>
        </w:rPr>
        <w:t xml:space="preserve">На цены оказывает давление сокращение мирового спроса на золото, основной причиной которого является снижение физического потребления Китая и Индии до рекордных минимумов, за последние 6 и 14 лет, соответственно.</w:t>
      </w:r>
    </w:p>
    <w:p>
      <w:pPr>
        <w:spacing w:after="60"/>
        <w:ind w:firstLine="567"/>
        <w:jc w:val="both"/>
      </w:pPr>
      <w:r>
        <w:rPr>
          <w:rFonts w:ascii="Arial" w:cs="Arial" w:eastAsia="Arial" w:hAnsi="Arial"/>
          <w:sz w:val="24"/>
          <w:szCs w:val="24"/>
        </w:rPr>
        <w:t xml:space="preserve">Дальнейшее развитие восходящего/нисходящего тренда цены на золото будет определяться экономической нестабильностью и геополитической напряженностью, а также ослаблением доллара по отношению к валютам основных торговых партнеров США. Следует отметить, что рынок пока находится в режиме ожидания. Единого мнения о дальнейшей динамике цен на золото у экспертов нет, но в целом консенсус-прогноз международных финансовых институтов, банков, агентств в 2017 году в среднем составляет до уровня 1200-1300 долл. США за тройскую унцию.</w:t>
      </w:r>
    </w:p>
    <w:p>
      <w:pPr>
        <w:spacing w:after="60"/>
        <w:ind w:firstLine="567"/>
        <w:jc w:val="both"/>
      </w:pPr>
      <w:r>
        <w:rPr>
          <w:rFonts w:ascii="Arial" w:cs="Arial" w:eastAsia="Arial" w:hAnsi="Arial"/>
          <w:sz w:val="24"/>
          <w:szCs w:val="24"/>
        </w:rPr>
        <w:t xml:space="preserve">Цены на желтый драгоценный металл (золото) в прогнозируемом периоде будут определяться разнонаправленными факторами. Всемирный совет по золоту выделяет следующие основные тенденции мировой экономики, которые будут поддерживать спрос на золото:</w:t>
      </w:r>
    </w:p>
    <w:p>
      <w:pPr>
        <w:spacing w:after="60"/>
        <w:ind w:firstLine="567"/>
        <w:jc w:val="both"/>
      </w:pPr>
      <w:r>
        <w:rPr>
          <w:rFonts w:ascii="Arial" w:cs="Arial" w:eastAsia="Arial" w:hAnsi="Arial"/>
          <w:sz w:val="24"/>
          <w:szCs w:val="24"/>
        </w:rPr>
        <w:t xml:space="preserve">- возросшие политические и геополитические риски;</w:t>
      </w:r>
    </w:p>
    <w:p>
      <w:pPr>
        <w:spacing w:after="60"/>
        <w:ind w:firstLine="567"/>
        <w:jc w:val="both"/>
      </w:pPr>
      <w:r>
        <w:rPr>
          <w:rFonts w:ascii="Arial" w:cs="Arial" w:eastAsia="Arial" w:hAnsi="Arial"/>
          <w:sz w:val="24"/>
          <w:szCs w:val="24"/>
        </w:rPr>
        <w:t xml:space="preserve">- валютная амортизация;</w:t>
      </w:r>
    </w:p>
    <w:p>
      <w:pPr>
        <w:spacing w:after="60"/>
        <w:ind w:firstLine="567"/>
        <w:jc w:val="both"/>
      </w:pPr>
      <w:r>
        <w:rPr>
          <w:rFonts w:ascii="Arial" w:cs="Arial" w:eastAsia="Arial" w:hAnsi="Arial"/>
          <w:sz w:val="24"/>
          <w:szCs w:val="24"/>
        </w:rPr>
        <w:t xml:space="preserve">- рост инфляционных ожиданий;</w:t>
      </w:r>
    </w:p>
    <w:p>
      <w:pPr>
        <w:spacing w:after="60"/>
        <w:ind w:firstLine="567"/>
        <w:jc w:val="both"/>
      </w:pPr>
      <w:r>
        <w:rPr>
          <w:rFonts w:ascii="Arial" w:cs="Arial" w:eastAsia="Arial" w:hAnsi="Arial"/>
          <w:sz w:val="24"/>
          <w:szCs w:val="24"/>
        </w:rPr>
        <w:t xml:space="preserve">- завышенные оценки фондового рынка;</w:t>
      </w:r>
    </w:p>
    <w:p>
      <w:pPr>
        <w:spacing w:after="60"/>
        <w:ind w:firstLine="567"/>
        <w:jc w:val="both"/>
      </w:pPr>
      <w:r>
        <w:rPr>
          <w:rFonts w:ascii="Arial" w:cs="Arial" w:eastAsia="Arial" w:hAnsi="Arial"/>
          <w:sz w:val="24"/>
          <w:szCs w:val="24"/>
        </w:rPr>
        <w:t xml:space="preserve">- долгосрочный рост в Азии;</w:t>
      </w:r>
    </w:p>
    <w:p>
      <w:pPr>
        <w:spacing w:after="60"/>
        <w:ind w:firstLine="567"/>
        <w:jc w:val="both"/>
      </w:pPr>
      <w:r>
        <w:rPr>
          <w:rFonts w:ascii="Arial" w:cs="Arial" w:eastAsia="Arial" w:hAnsi="Arial"/>
          <w:sz w:val="24"/>
          <w:szCs w:val="24"/>
        </w:rPr>
        <w:t xml:space="preserve">- открытие новых рынков.</w:t>
      </w:r>
    </w:p>
    <w:p>
      <w:pPr>
        <w:spacing w:after="60"/>
        <w:ind w:firstLine="567"/>
        <w:jc w:val="both"/>
      </w:pPr>
      <w:r>
        <w:rPr>
          <w:rFonts w:ascii="Arial" w:cs="Arial" w:eastAsia="Arial" w:hAnsi="Arial"/>
          <w:sz w:val="24"/>
          <w:szCs w:val="24"/>
        </w:rPr>
        <w:t xml:space="preserve">Также на протяжении прогнозного периода - до 2020 года значительная поддержка ценам окажет нестабильность, связанная с выходом Британии из Европейского Союза. Динамика цен золота будет достаточно высокой, и фьючерсы сохранят свою привлекательность как инструмент финансовых инвестиций. Но в целом в настоящее время других фундаментальных предпосылок для долгосрочного роста цен не присутствует.</w:t>
      </w:r>
    </w:p>
    <w:p>
      <w:pPr>
        <w:spacing w:after="60"/>
        <w:ind w:firstLine="567"/>
        <w:jc w:val="both"/>
      </w:pPr>
      <w:r>
        <w:rPr>
          <w:rFonts w:ascii="Arial" w:cs="Arial" w:eastAsia="Arial" w:hAnsi="Arial"/>
          <w:sz w:val="24"/>
          <w:szCs w:val="24"/>
        </w:rPr>
        <w:t xml:space="preserve">Несмотря на умеренно позитивные прогнозы, многие факторы также представляют риски для снижения цен на золото. В среднесрочной перспективе отсутствие интереса со стороны инвесторов, укрепление мировой экономики, замедление экономики Китая, отсутствие значимой инфляции, и укрепление доллара могут существенно вызвать снижение цен. Кроме того, многое будет зависеть от возможного повышения ставки ФРС.</w:t>
      </w:r>
    </w:p>
    <w:p>
      <w:pPr>
        <w:spacing w:after="60"/>
        <w:ind w:firstLine="567"/>
        <w:jc w:val="both"/>
      </w:pPr>
      <w:r>
        <w:rPr>
          <w:rFonts w:ascii="Arial" w:cs="Arial" w:eastAsia="Arial" w:hAnsi="Arial"/>
          <w:sz w:val="24"/>
          <w:szCs w:val="24"/>
        </w:rPr>
        <w:t xml:space="preserve">На фоне вышеуказанных предпосылок в основу оценок заложены как внешние, так и внутренние факторы, которые будут оказывать влияние на развитие экономики страны:</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полная интеграция кыргызской экономики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рост деловой активности хозяйствующих субъектов и повышение привлекательности бизнес-среды на фоне восстановления/улучшения экономического роста в странах - основных торговых партнерах;</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ВТО, преференциального статуса пользователя схемы ВСП+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активизация работы Российско-Кыргызского Фонда развития, продолжение субсидирования кредитования отраслей сельского хозяйства;</w:t>
      </w:r>
    </w:p>
    <w:p>
      <w:pPr>
        <w:spacing w:after="60"/>
        <w:ind w:firstLine="567"/>
        <w:jc w:val="both"/>
      </w:pPr>
      <w:r>
        <w:rPr>
          <w:rFonts w:ascii="Arial" w:cs="Arial" w:eastAsia="Arial" w:hAnsi="Arial"/>
          <w:sz w:val="24"/>
          <w:szCs w:val="24"/>
        </w:rPr>
        <w:t xml:space="preserve">- реализация государственной политики социально-экономического развития регионов Кыргызской Республики, формирование базисной конструкции для подготовки детализированных программ развития конкретных населенных пунктов, которые будут служить точками развития регионов в рамках Концепции региональной политики Кыргызской Республики на период 2018-2022 годы (постановление Правительства Кыргызской Республики от 31 марта 2017 года № 194);</w:t>
      </w:r>
    </w:p>
    <w:p>
      <w:pPr>
        <w:spacing w:after="60"/>
        <w:ind w:firstLine="567"/>
        <w:jc w:val="both"/>
      </w:pPr>
      <w:r>
        <w:rPr>
          <w:rFonts w:ascii="Arial" w:cs="Arial" w:eastAsia="Arial" w:hAnsi="Arial"/>
          <w:sz w:val="24"/>
          <w:szCs w:val="24"/>
        </w:rPr>
        <w:t xml:space="preserve">- дальнейшее стимулирование и активное привлечение прямых инвестиций в Кыргызскую Республику, развитие экономики и улучшение инвестиционной привлекательности Кыргызской Республики будет продвигаться в рамках Программы продвижения прямых инвестиций Кыргызской Республики на 2017-2019 годы, которая будет определять приоритетные секторы экономики с учетом спроса на глобальном рынке инвестиций, а также возможностей, которые Кыргызская Республика может предложить инвесторам в среднесрочном периоде;</w:t>
      </w:r>
    </w:p>
    <w:p>
      <w:pPr>
        <w:spacing w:after="60"/>
        <w:ind w:firstLine="567"/>
        <w:jc w:val="both"/>
      </w:pPr>
      <w:r>
        <w:rPr>
          <w:rFonts w:ascii="Arial" w:cs="Arial" w:eastAsia="Arial" w:hAnsi="Arial"/>
          <w:sz w:val="24"/>
          <w:szCs w:val="24"/>
        </w:rPr>
        <w:t xml:space="preserve">- улучшение инвестиционного климата страны через реализацию Программы развития государственно-частного партнерства в Кыргызской Республике на 2016-2021 годы (постановление Правительства Кыргызской Республики от 16 июня 2016 года № 327);</w:t>
      </w:r>
    </w:p>
    <w:p>
      <w:pPr>
        <w:spacing w:after="60"/>
        <w:ind w:firstLine="567"/>
        <w:jc w:val="both"/>
      </w:pPr>
      <w:r>
        <w:rPr>
          <w:rFonts w:ascii="Arial" w:cs="Arial" w:eastAsia="Arial" w:hAnsi="Arial"/>
          <w:sz w:val="24"/>
          <w:szCs w:val="24"/>
        </w:rPr>
        <w:t xml:space="preserve">- продолжение активной кампании по повышению уровня финансовой грамотности экономических агентов и населения в рамках Программы повышения финансовой грамотности населения Кыргызской Республики на 2016-2020 годы (постановление Правительства Кыргызской Республики от 15 июня 2016 года № 319);</w:t>
      </w:r>
    </w:p>
    <w:p>
      <w:pPr>
        <w:spacing w:after="60"/>
        <w:ind w:firstLine="567"/>
        <w:jc w:val="both"/>
      </w:pPr>
      <w:r>
        <w:rPr>
          <w:rFonts w:ascii="Arial" w:cs="Arial" w:eastAsia="Arial" w:hAnsi="Arial"/>
          <w:sz w:val="24"/>
          <w:szCs w:val="24"/>
        </w:rPr>
        <w:t xml:space="preserve">- продолжение развития отечественной туристической индустрии в целях улучшения имиджа страны на международной арене и вклада туризма в экономику через увеличение его доли в ВВП на основе реализации Плана мероприятий по реализации Программы Правительства Кыргызской Республики по развитию сферы туризма до 2020 года (постановление Правительства Кыргызской Республики от 11 апреля 2016 года № 192);</w:t>
      </w:r>
    </w:p>
    <w:p>
      <w:pPr>
        <w:spacing w:after="60"/>
        <w:ind w:firstLine="567"/>
        <w:jc w:val="both"/>
      </w:pPr>
      <w:r>
        <w:rPr>
          <w:rFonts w:ascii="Arial" w:cs="Arial" w:eastAsia="Arial" w:hAnsi="Arial"/>
          <w:sz w:val="24"/>
          <w:szCs w:val="24"/>
        </w:rPr>
        <w:t xml:space="preserve">- цены на нефть в ближайшие два года прогнозируются как "более стабильными и высокими" на фоне ребалансировки спроса и предложения на рынках при растущих объемах мирового потребления нефти (в районе 50-60 долларов США за баррель);</w:t>
      </w:r>
    </w:p>
    <w:p>
      <w:pPr>
        <w:spacing w:after="60"/>
        <w:ind w:firstLine="567"/>
        <w:jc w:val="both"/>
      </w:pPr>
      <w:r>
        <w:rPr>
          <w:rFonts w:ascii="Arial" w:cs="Arial" w:eastAsia="Arial" w:hAnsi="Arial"/>
          <w:sz w:val="24"/>
          <w:szCs w:val="24"/>
        </w:rPr>
        <w:t xml:space="preserve">- рост чистого притока денежных переводов физических лиц, осуществленных через системы переводов ежегодно в 2017 году на 8,8%, в 2018-2020 годах в среднем - на 5,1%;</w:t>
      </w:r>
    </w:p>
    <w:p>
      <w:pPr>
        <w:spacing w:after="60"/>
        <w:ind w:firstLine="567"/>
        <w:jc w:val="both"/>
      </w:pPr>
      <w:r>
        <w:rPr>
          <w:rFonts w:ascii="Arial" w:cs="Arial" w:eastAsia="Arial" w:hAnsi="Arial"/>
          <w:sz w:val="24"/>
          <w:szCs w:val="24"/>
        </w:rPr>
        <w:t xml:space="preserve">- прогнозируемый умеренный рост инфляции в странах - основных торговых партнерах Кыргызской Республики;</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сужение потребительского спроса за счет снижения/замедления темпов экономического роста в странах - основных торговых партнерах из-за сложившейся неблагоприятной экономической ситуации в регионе;</w:t>
      </w:r>
    </w:p>
    <w:p>
      <w:pPr>
        <w:spacing w:after="60"/>
        <w:ind w:firstLine="567"/>
        <w:jc w:val="both"/>
      </w:pPr>
      <w:r>
        <w:rPr>
          <w:rFonts w:ascii="Arial" w:cs="Arial" w:eastAsia="Arial" w:hAnsi="Arial"/>
          <w:sz w:val="24"/>
          <w:szCs w:val="24"/>
        </w:rPr>
        <w:t xml:space="preserve">- высокий уровень государственного долга (по итогам 2016 года соотношение государственного долга к ВВП составило 61,4%),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возможного повышения цен, слабой инфраструктуры, качества продукции и выполнения требований технических регламентов ЕАЭС;</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ЕАЭС в области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отток с отечественного рынка труда квалифицированной рабочей силы;</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волатильности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отток некоторых сельскохозяйственных продуктов кыргызского производства в страны-члены ЕАЭС и, соответственно, повышение уровня цен на эти продукты;</w:t>
      </w:r>
    </w:p>
    <w:p>
      <w:pPr>
        <w:spacing w:after="60"/>
        <w:ind w:firstLine="567"/>
        <w:jc w:val="both"/>
      </w:pPr>
      <w:r>
        <w:rPr>
          <w:rFonts w:ascii="Arial" w:cs="Arial" w:eastAsia="Arial" w:hAnsi="Arial"/>
          <w:sz w:val="24"/>
          <w:szCs w:val="24"/>
        </w:rPr>
        <w:t xml:space="preserve">- возможное сокращение денежных переводов, что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2017-2020 годы. На рассматриваемые периоды перспективы развития мировой экономики варьируются в интервале 2,9%-3,8%, а изменение цен на нефть варьируются в интервале от 50,0 до 65 долл. США за баррель. На 2017-2020 годы цены на золото прогнозируются в диапазоне 1200-1300 долл. США за тройскую унцию.</w:t>
      </w:r>
    </w:p>
    <w:p>
      <w:pPr>
        <w:spacing w:after="240" w:before="240"/>
        <w:ind w:firstLine="567"/>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3568"/>
        <w:gridCol w:w="2477"/>
        <w:gridCol w:w="944"/>
        <w:gridCol w:w="944"/>
        <w:gridCol w:w="944"/>
        <w:gridCol w:w="944"/>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4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7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пред. году</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3,1-3,4</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баррель</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50,0-57,0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54,0-61,0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55,0-63,0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55,0-65,0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тройскую унцию</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1200-1250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1250-1300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1230-1300</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1250-1300</w:t>
            </w:r>
          </w:p>
        </w:tc>
      </w:tr>
    </w:tbl>
    <w:p>
      <w:pPr>
        <w:spacing w:after="60" w:before="120"/>
        <w:ind w:firstLine="567"/>
        <w:jc w:val="both"/>
      </w:pPr>
      <w:r>
        <w:rPr>
          <w:rFonts w:ascii="Arial" w:cs="Arial" w:eastAsia="Arial" w:hAnsi="Arial"/>
          <w:sz w:val="24"/>
          <w:szCs w:val="24"/>
        </w:rPr>
        <w:t xml:space="preserve">Взаимное влияние экономик - важный фактор, который будет оказывать как положительное, так и негативное воздействие на макроэкономические показатели Кыргызской Республики в 2017 году и среднесрочный период. Участие в интеграционном объединении усиливает не только положительные взаимные эффекты на траектории роста, но и отрицательные - на траектории спада. Это в свою очередь дает инструменты координации, которые позволяют сглаживать негативное влияние.</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обеспечение макроэкономической стабильности.</w:t>
      </w:r>
    </w:p>
    <w:p>
      <w:pPr>
        <w:spacing w:after="60"/>
        <w:ind w:firstLine="567"/>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w:t>
      </w:r>
    </w:p>
    <w:p>
      <w:pPr>
        <w:spacing w:after="200" w:before="200"/>
        <w:jc w:val="center"/>
      </w:pPr>
      <w:r>
        <w:rPr>
          <w:rFonts w:ascii="Arial" w:cs="Arial" w:eastAsia="Arial" w:hAnsi="Arial"/>
          <w:b/>
          <w:bCs/>
          <w:sz w:val="24"/>
          <w:szCs w:val="24"/>
        </w:rPr>
        <w:t xml:space="preserve">4. Оценка устойчивости национальной экономики</w:t>
      </w:r>
    </w:p>
    <w:p>
      <w:pPr>
        <w:spacing w:after="60"/>
        <w:ind w:firstLine="567"/>
        <w:jc w:val="both"/>
      </w:pPr>
      <w:r>
        <w:rPr>
          <w:rFonts w:ascii="Arial" w:cs="Arial" w:eastAsia="Arial" w:hAnsi="Arial"/>
          <w:sz w:val="24"/>
          <w:szCs w:val="24"/>
        </w:rPr>
        <w:t xml:space="preserve">Учитывая указанные факторы, имеющиеся ресурсы и исходя из сложившейся фактической ситуации, произведена оценка трех сценариев прогнозных значений на 2017-2020 годы, где предполагается, что экономический рост замедлится в 2017-2018 годах с последующим выходом на траекторию роста в 2019-2020 годы.</w:t>
      </w:r>
    </w:p>
    <w:p>
      <w:pPr>
        <w:spacing w:after="60"/>
        <w:ind w:firstLine="567"/>
        <w:jc w:val="both"/>
      </w:pPr>
      <w:r>
        <w:rPr>
          <w:rFonts w:ascii="Arial" w:cs="Arial" w:eastAsia="Arial" w:hAnsi="Arial"/>
          <w:sz w:val="24"/>
          <w:szCs w:val="24"/>
        </w:rPr>
        <w:t xml:space="preserve">На Координационном совете по макроэкономической и инвестиционной политике при Правительстве Кыргызской Республики из предложенных трех сценариев (вариант 1 (наиболее вероятный), вариант 2 (пессимистичный), вариант 3 (целевой) социально-экономического развития Кыргызской Республики на среднесрочный период (2018-2020 годы) одобрен вариант 3 - целевой макроэкономический сценарий (Протокол от 15 марта 2017 года № 17-31) для формирования среднесрочного бюджета страны.</w:t>
      </w:r>
    </w:p>
    <w:p>
      <w:pPr>
        <w:spacing w:after="60"/>
        <w:ind w:firstLine="567"/>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Сценарии развития экономики страны на 2018-2020 годы,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481"/>
        <w:gridCol w:w="1675"/>
        <w:gridCol w:w="1250"/>
        <w:gridCol w:w="1421"/>
        <w:gridCol w:w="1421"/>
        <w:gridCol w:w="1421"/>
      </w:tblGrid>
      <w:tr>
        <w:tc>
          <w:tcPr>
            <w:tcW w:type="dxa" w:w="5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прогноз</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tcW w:type="dxa" w:w="51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вариант 3 (целевой)</w:t>
            </w:r>
          </w:p>
        </w:tc>
        <w:tc>
          <w:tcPr>
            <w:tcW w:type="dxa" w:w="167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vMerge w:val="continue"/>
            <w:tcBorders>
              <w:top w:val="none" w:color="auto" w:sz="0"/>
              <w:left w:val="single" w:color="CBBF9E" w:sz="4"/>
              <w:bottom w:val="single" w:color="CBBF9E" w:sz="4"/>
              <w:right w:val="single" w:color="CBBF9E" w:sz="4"/>
            </w:tcBorders>
          </w:tcP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вариант 1 (наиболее вероятный)</w:t>
            </w:r>
          </w:p>
        </w:tc>
        <w:tc>
          <w:tcPr>
            <w:vMerge w:val="continue"/>
            <w:tcBorders>
              <w:top w:val="none" w:color="auto" w:sz="0"/>
              <w:left w:val="none" w:color="auto" w:sz="0"/>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vMerge w:val="continue"/>
            <w:tcBorders>
              <w:top w:val="none" w:color="auto" w:sz="0"/>
              <w:left w:val="single" w:color="CBBF9E" w:sz="4"/>
              <w:bottom w:val="single" w:color="CBBF9E" w:sz="4"/>
              <w:right w:val="single" w:color="CBBF9E" w:sz="4"/>
            </w:tcBorders>
          </w:tcPr>
          <w:p/>
        </w:tc>
        <w:tc>
          <w:tcPr>
            <w:tcW w:type="dxa" w:w="24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вариант 2 (пессимистичный)</w:t>
            </w:r>
          </w:p>
        </w:tc>
        <w:tc>
          <w:tcPr>
            <w:vMerge w:val="continue"/>
            <w:tcBorders>
              <w:top w:val="none" w:color="auto" w:sz="0"/>
              <w:left w:val="none" w:color="auto" w:sz="0"/>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bl>
    <w:p>
      <w:pPr>
        <w:spacing w:after="60" w:before="120"/>
        <w:ind w:firstLine="567"/>
        <w:jc w:val="both"/>
      </w:pPr>
      <w:r>
        <w:rPr>
          <w:rFonts w:ascii="Arial" w:cs="Arial" w:eastAsia="Arial" w:hAnsi="Arial"/>
          <w:sz w:val="24"/>
          <w:szCs w:val="24"/>
        </w:rPr>
        <w:t xml:space="preserve">Все три сценария прогноза разработаны на основе единых предположений влияния внешних условий, которые приведены выше.</w:t>
      </w:r>
    </w:p>
    <w:p>
      <w:pPr>
        <w:spacing w:after="60"/>
        <w:ind w:firstLine="567"/>
        <w:jc w:val="both"/>
      </w:pPr>
      <w:r>
        <w:rPr>
          <w:rFonts w:ascii="Arial" w:cs="Arial" w:eastAsia="Arial" w:hAnsi="Arial"/>
          <w:sz w:val="24"/>
          <w:szCs w:val="24"/>
        </w:rPr>
        <w:t xml:space="preserve">В основу оценок развития страны заложены сценарии, которые будут происходить в условиях сохраняющихся внешних и внутренних рисков (неустойчивость развития мировой экономики, тенденции медленного восстановления экономического роста и роста уровня инфляции в государствах-членах ЕАЭС и основных торговых партнерах, риск продолжения санкционного режима, возможное укрепление позиции доллара, связанное с изменением денежно-кредитной политики США и т.д.), влияние природно-климатических условий для развития сельского хозяйства и энергетики страны, волатильность обменного курса доллара по отношению к сому, неустойчивость мировых цен на сырьевые товары и т.д., которые могут оказать влияние на развитие экономики страны на текущий и последующие годы.</w:t>
      </w:r>
    </w:p>
    <w:p>
      <w:pPr>
        <w:spacing w:after="60"/>
        <w:ind w:firstLine="567"/>
        <w:jc w:val="both"/>
      </w:pPr>
      <w:r>
        <w:rPr>
          <w:rFonts w:ascii="Arial" w:cs="Arial" w:eastAsia="Arial" w:hAnsi="Arial"/>
          <w:sz w:val="24"/>
          <w:szCs w:val="24"/>
        </w:rPr>
        <w:t xml:space="preserve">Различие сценариев обусловлено отличием моделей доведения частного бизнеса, работы промышленных предприятий, перспективами повышения его конкурентоспособности и эффективностью реализации государственной политики развития и перспективами структурного маневра.</w:t>
      </w:r>
    </w:p>
    <w:p>
      <w:pPr>
        <w:spacing w:after="200" w:before="200"/>
        <w:jc w:val="center"/>
      </w:pPr>
      <w:r>
        <w:rPr>
          <w:rFonts w:ascii="Arial" w:cs="Arial" w:eastAsia="Arial" w:hAnsi="Arial"/>
          <w:b/>
          <w:bCs/>
          <w:sz w:val="24"/>
          <w:szCs w:val="24"/>
        </w:rPr>
        <w:t xml:space="preserve">5. Макроэкономические показатели, ожидаемые в 2017 году</w:t>
      </w:r>
    </w:p>
    <w:p>
      <w:pPr>
        <w:spacing w:after="60"/>
        <w:ind w:firstLine="567"/>
        <w:jc w:val="both"/>
      </w:pPr>
      <w:r>
        <w:rPr>
          <w:rFonts w:ascii="Arial" w:cs="Arial" w:eastAsia="Arial" w:hAnsi="Arial"/>
          <w:sz w:val="24"/>
          <w:szCs w:val="24"/>
        </w:rPr>
        <w:t xml:space="preserve">Главной целью экономической политики в 2017 году будет обеспечение макроэкономической стабильности и закрепление положительной динамики экономического роста, для достижения которых будет активно реализовываться Национальная стратегия устойчивого развития Кыргызской Республики на период 2013-2017 годы (Указ Президента Кыргызской Республики от 21 января 2013 года № 11), План действий Правительства Кыргызской Республики по реализации Программы Правительства Кыргызской Республики "Доверие и новые возможности" на 2017 год (постановление Правительства Кыргызской Республики от 30 января 2017 года № 53).</w:t>
      </w:r>
    </w:p>
    <w:p>
      <w:pPr>
        <w:spacing w:after="60"/>
        <w:ind w:firstLine="567"/>
        <w:jc w:val="both"/>
      </w:pPr>
      <w:r>
        <w:rPr>
          <w:rFonts w:ascii="Arial" w:cs="Arial" w:eastAsia="Arial" w:hAnsi="Arial"/>
          <w:sz w:val="24"/>
          <w:szCs w:val="24"/>
        </w:rPr>
        <w:t xml:space="preserve">В 2017 году экономическое развитие страны, несмотря на существующие вызовы и тенденции, а также внутренние ограничения для экономического прогресса, будет проходить в условиях функционирования Кыргызской Республики в ЕАЭС, поступательного развития мировой экономики, восстановления спроса и улучшения ситуации в развивающихся странах.</w:t>
      </w:r>
    </w:p>
    <w:p>
      <w:pPr>
        <w:spacing w:after="60"/>
        <w:ind w:firstLine="567"/>
        <w:jc w:val="both"/>
      </w:pPr>
      <w:r>
        <w:rPr>
          <w:rFonts w:ascii="Arial" w:cs="Arial" w:eastAsia="Arial" w:hAnsi="Arial"/>
          <w:sz w:val="24"/>
          <w:szCs w:val="24"/>
        </w:rPr>
        <w:t xml:space="preserve">Поддержка приоритетных отраслей экономики, обладающих большим экспортным потенциалом, является важным направлением в развитии, которая будет реализовываться согласно Плану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Обеспечение благоприятных условий ведения бизнеса будет реализовываться через Программу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 в которой предусмотрено осуществление ряда реформ в торговой и таможенной сферах: по оптимизации налогового администрирования; по реформированию трудового законодательства и антимонопольного законодательства.</w:t>
      </w:r>
    </w:p>
    <w:p>
      <w:pPr>
        <w:spacing w:after="60"/>
        <w:ind w:firstLine="567"/>
        <w:jc w:val="both"/>
      </w:pPr>
      <w:r>
        <w:rPr>
          <w:rFonts w:ascii="Arial" w:cs="Arial" w:eastAsia="Arial" w:hAnsi="Arial"/>
          <w:sz w:val="24"/>
          <w:szCs w:val="24"/>
        </w:rPr>
        <w:t xml:space="preserve">В целях сокращения масштабов теневой экономики будет выполняться План мероприятий Правительства Кыргызской Республики по сокращению уровня ненаблюдаемого сектора экономики на 2015-2017 годы (распоряжение Правительства Кыргызской Республики от 28 октября 2015 года № 536-р), меры которого направлены на устранение условий и причин возникновения теневой составляющей экономики, а также по ее легализации.</w:t>
      </w:r>
    </w:p>
    <w:p>
      <w:pPr>
        <w:spacing w:after="60"/>
        <w:ind w:firstLine="567"/>
        <w:jc w:val="both"/>
      </w:pPr>
      <w:r>
        <w:rPr>
          <w:rFonts w:ascii="Arial" w:cs="Arial" w:eastAsia="Arial" w:hAnsi="Arial"/>
          <w:sz w:val="24"/>
          <w:szCs w:val="24"/>
        </w:rPr>
        <w:t xml:space="preserve">Повышение эффективности использования государственных активов будет зависеть от результатов реализации Программы приватизации государственной собственности в Кыргызской Республике на 2015-2017 годы (постановление Жогорку Кенеша Кыргызской Республики от 29 июня 2015 года № 5408-V), Концепции реформирования государственного имущества (распоряжение Правительства Кыргызской Республики от 5 июня 2015 года № 244-р).</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деятельность Правительства будет направлена на продолжение реализации крупных инвестиционных проектов. Макроэкономическая устойчивость обеспечит стабильность макроэкономических показателей, определяющих устойчивость экономического развития,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60"/>
        <w:ind w:firstLine="567"/>
        <w:jc w:val="both"/>
      </w:pPr>
      <w:r>
        <w:rPr>
          <w:rFonts w:ascii="Arial" w:cs="Arial" w:eastAsia="Arial" w:hAnsi="Arial"/>
          <w:sz w:val="24"/>
          <w:szCs w:val="24"/>
        </w:rPr>
        <w:t xml:space="preserve">На основании произведенных расчетов, а также с учетом перечисленных отдельных предпосылок и предположений, в 2017 году экономический рост ожидается на уровне 3,5%, а без учета предприятий по разработке месторождения Кумтор - 4,8%. Номинальный объем ВВП ожидается в сумме 494,1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2017 году сложатся следующим образом:</w:t>
      </w:r>
    </w:p>
    <w:p>
      <w:pPr>
        <w:spacing w:after="240" w:before="240"/>
        <w:ind w:firstLine="567"/>
        <w:jc w:val="right"/>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Структура и темпы роста по секторам, формирующим ВВП(8)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5"/>
        <w:gridCol w:w="1018"/>
        <w:gridCol w:w="1018"/>
        <w:gridCol w:w="1018"/>
        <w:gridCol w:w="1262"/>
        <w:gridCol w:w="1262"/>
        <w:gridCol w:w="1262"/>
        <w:gridCol w:w="1262"/>
      </w:tblGrid>
      <w:tr>
        <w:tc>
          <w:tcPr>
            <w:tcW w:type="dxa" w:w="20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предв. факт</w:t>
            </w:r>
          </w:p>
        </w:tc>
        <w:tc>
          <w:tcPr>
            <w:tcW w:type="dxa" w:w="50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r>
      <w:tr>
        <w:tc>
          <w:tcPr>
            <w:vMerge w:val="continue"/>
            <w:tcBorders>
              <w:top w:val="single" w:color="CBBF9E" w:sz="4"/>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82105,8</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60588,8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63741,7</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39084,7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44451,0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227983,1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249554,4</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r>
      <w:tr>
        <w:tc>
          <w:tcPr>
            <w:tcW w:type="dxa" w:w="2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54210,1</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3,5% будет обеспечиваться положительным вкладом в ВВП практически всех секторов экономики, в том числе за счет роста: (1) производства сельского хозяйства - на 3,0%; (2) строительного сектора - на 11,5%; (3) сектора услуг - на 4,3%. Наибольший вклад будет обеспечен со стороны сектора услуг (2,14 процентного пункта), а вклады строительства (0,98 процентного пункта) и сельского хозяйства (0,40 процентного пункта) будут умеренными. При этом в промышленном производстве ожидается снижение на уровне 2,4%, а вклад в рост ВВП будет практически нейтральным - (-)0,4 процентных пункта.</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2017 год выглядят следующим образом:</w:t>
      </w:r>
    </w:p>
    <w:p>
      <w:pPr>
        <w:spacing w:after="60"/>
        <w:ind w:firstLine="567"/>
        <w:jc w:val="both"/>
      </w:pPr>
      <w:r>
        <w:rPr>
          <w:rFonts w:ascii="Arial" w:cs="Arial" w:eastAsia="Arial" w:hAnsi="Arial"/>
          <w:sz w:val="24"/>
          <w:szCs w:val="24"/>
        </w:rPr>
        <w:t xml:space="preserve">1) в сельском хозяйстве в 2017 году темп реального прироста ожидается на уровне 3,0% за счет прироста в растениеводстве на 3,5% и животноводстве - на 2,3%. Удельный вес в общем объеме ВВП составит 12,9%, а вклад в рост ВВП - 0,40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благоприятное влияние природно-климатического фактора;</w:t>
      </w:r>
    </w:p>
    <w:p>
      <w:pPr>
        <w:spacing w:after="60"/>
        <w:ind w:firstLine="567"/>
        <w:jc w:val="both"/>
      </w:pPr>
      <w:r>
        <w:rPr>
          <w:rFonts w:ascii="Arial" w:cs="Arial" w:eastAsia="Arial" w:hAnsi="Arial"/>
          <w:sz w:val="24"/>
          <w:szCs w:val="24"/>
        </w:rPr>
        <w:t xml:space="preserve">- активное использование и внедрение фермерами систем капельного орошения, которые в два раза увеличат урожайность и позволят эффективно использовать водные ресурсы;</w:t>
      </w:r>
    </w:p>
    <w:p>
      <w:pPr>
        <w:spacing w:after="60"/>
        <w:ind w:firstLine="567"/>
        <w:jc w:val="both"/>
      </w:pPr>
      <w:r>
        <w:rPr>
          <w:rFonts w:ascii="Arial" w:cs="Arial" w:eastAsia="Arial" w:hAnsi="Arial"/>
          <w:sz w:val="24"/>
          <w:szCs w:val="24"/>
        </w:rPr>
        <w:t xml:space="preserve">- снятие фитосанитарного/ветеринарного контроля на кыргызско-казахстанском участке государственной границы;</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ГСМ, обеспечении фермеров необходимой сельхозтехникой на льготных кредитных условиях путем приобретения сельхозтехники в лизинг,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продолжение развития тепличных хозяйств и наращивания объемов производства в хозяйстве;</w:t>
      </w:r>
    </w:p>
    <w:p>
      <w:pPr>
        <w:spacing w:after="60"/>
        <w:ind w:firstLine="567"/>
        <w:jc w:val="both"/>
      </w:pPr>
      <w:r>
        <w:rPr>
          <w:rFonts w:ascii="Arial" w:cs="Arial" w:eastAsia="Arial" w:hAnsi="Arial"/>
          <w:sz w:val="24"/>
          <w:szCs w:val="24"/>
        </w:rPr>
        <w:t xml:space="preserve">- продолжение программы льготного кредитования фермеров в рамках программы "Финансирование сельского хозяйства 5";</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- 1, 2, 3, 4", в рамках которых за 2011-2016 годы выдано более 18,3 млрд. сомов;</w:t>
      </w:r>
    </w:p>
    <w:p>
      <w:pPr>
        <w:spacing w:after="60"/>
        <w:ind w:firstLine="567"/>
        <w:jc w:val="both"/>
      </w:pPr>
      <w:r>
        <w:rPr>
          <w:rFonts w:ascii="Arial" w:cs="Arial" w:eastAsia="Arial" w:hAnsi="Arial"/>
          <w:sz w:val="24"/>
          <w:szCs w:val="24"/>
        </w:rPr>
        <w:t xml:space="preserve">2) в промышленном секторе(9) в 2017 году в целом физический объем ожидается на уровне 99,0% по сравнению с 2016 годом за счет запланированных объемов производства закрытого акционерного общества (далее - ЗАО) "Кумтор Голд Компани" меньше, чем достигнутых в 2016 году (17136,7 кг (550,9576 тыс. унций). Объем производства основных металлов на предприятие по разработке месторождения Кумтор в 2017 году ожидается в количестве 455-505,0 тыс. унций (14,1-15,7 т). В расчет принят верхний предел запланированных объемов (505,0 тыс. унций). Отрицательный вклад в рост ВВП ожидается на уровне 0,82 процентных пункта.</w:t>
      </w:r>
    </w:p>
    <w:p>
      <w:pPr>
        <w:spacing w:after="60"/>
        <w:ind w:firstLine="567"/>
        <w:jc w:val="both"/>
      </w:pPr>
      <w:r>
        <w:rPr>
          <w:rFonts w:ascii="Arial" w:cs="Arial" w:eastAsia="Arial" w:hAnsi="Arial"/>
          <w:sz w:val="24"/>
          <w:szCs w:val="24"/>
        </w:rPr>
        <w:t xml:space="preserve">В промышленном производстве без учета предприятий по разработке месторождения Кумтор ожидается сохранение положительной динамики, достигнутой в 2016 году (104,8%) и рост объема производства в 2017 году прогнозируется на уровне 105,5%, за счет:</w:t>
      </w:r>
    </w:p>
    <w:p>
      <w:pPr>
        <w:spacing w:after="60"/>
        <w:ind w:firstLine="567"/>
        <w:jc w:val="both"/>
      </w:pPr>
      <w:r>
        <w:rPr>
          <w:rFonts w:ascii="Arial" w:cs="Arial" w:eastAsia="Arial" w:hAnsi="Arial"/>
          <w:sz w:val="24"/>
          <w:szCs w:val="24"/>
        </w:rPr>
        <w:t xml:space="preserve">- наращивания объемов производства ОАО "Кыргызалтын" в 1,4 раза (285 кг против 201,6 кг в 2016 году);</w:t>
      </w:r>
    </w:p>
    <w:p>
      <w:pPr>
        <w:spacing w:after="60"/>
        <w:ind w:firstLine="567"/>
        <w:jc w:val="both"/>
      </w:pPr>
      <w:r>
        <w:rPr>
          <w:rFonts w:ascii="Arial" w:cs="Arial" w:eastAsia="Arial" w:hAnsi="Arial"/>
          <w:sz w:val="24"/>
          <w:szCs w:val="24"/>
        </w:rPr>
        <w:t xml:space="preserve">- восстановления объемов текстильного и швейного производства, где рост производства одежды и обуви, кожи и прочих кожаных изделий ожидается в 2017 году на уровне 102,0% за счет загрузки в полном объеме производственных мощностей из-за увеличения заказов на швейные изделия из России и Казахстана. Также будут запущены новые мощности: в Жайылском районе Чуйской области на базе бывшего водочного завода общества с ограниченной ответственностью (далее - ОсОО) "Алсуу Алко" турецкими инвесторами создается текстильное производство ОсОО "Дениз Текстиль" по переработке хлопка-волокна мощностью 15 тонн трикотажного полотна в сутки. Ожидаемый объем инвестиций более 35 млн. долл. США. В селе Чуй Чуйского района текстильное предприятие ОсОО "Текстиль Транс" по переработке хлопка-волокна и производству хлопчатобумажной ткани с производственной мощностью 10 тонн готовой продукции в день и 225 тонн в месяц;</w:t>
      </w:r>
    </w:p>
    <w:p>
      <w:pPr>
        <w:spacing w:after="60"/>
        <w:ind w:firstLine="567"/>
        <w:jc w:val="both"/>
      </w:pPr>
      <w:r>
        <w:rPr>
          <w:rFonts w:ascii="Arial" w:cs="Arial" w:eastAsia="Arial" w:hAnsi="Arial"/>
          <w:sz w:val="24"/>
          <w:szCs w:val="24"/>
        </w:rPr>
        <w:t xml:space="preserve">- увеличения объемов производства продуктов (включая напитки) и табачных изделий на 3,0%;</w:t>
      </w:r>
    </w:p>
    <w:p>
      <w:pPr>
        <w:spacing w:after="60"/>
        <w:ind w:firstLine="567"/>
        <w:jc w:val="both"/>
      </w:pPr>
      <w:r>
        <w:rPr>
          <w:rFonts w:ascii="Arial" w:cs="Arial" w:eastAsia="Arial" w:hAnsi="Arial"/>
          <w:sz w:val="24"/>
          <w:szCs w:val="24"/>
        </w:rPr>
        <w:t xml:space="preserve">- наращивания объемов производства на месторождениях Бозымчак, Талды-Булак Левобережный, Иштамберди, Караказык (добыча руды и концентраты золотосодержащие в среднем за год 60,5 тыс. тонн, рост объемов в 2017 году на 30,5%);</w:t>
      </w:r>
    </w:p>
    <w:p>
      <w:pPr>
        <w:spacing w:after="60"/>
        <w:ind w:firstLine="567"/>
        <w:jc w:val="both"/>
      </w:pPr>
      <w:r>
        <w:rPr>
          <w:rFonts w:ascii="Arial" w:cs="Arial" w:eastAsia="Arial" w:hAnsi="Arial"/>
          <w:sz w:val="24"/>
          <w:szCs w:val="24"/>
        </w:rPr>
        <w:t xml:space="preserve">- восстановления объемов производства на ОАО "Кадамжайский сурьмяный комбинат" и ОАО "Хайдарканский ртутный комбинат". Для бесперебойного обеспечения сырьем ОАО "Кадамжайский сурьмяный комбинат" в краткосрочной и среднесрочной перспективе и выпуска товарной продукции подписан Меморандум о сотрудничестве между ОАО "КСК" и китайской компанией ООО "Развития горных дел Чжунтэн" от 28 июля 2016 года направленного на осуществление деятельности в области переработки металлургических штейнов и промышленного кека и шлака на базе ОАО "КСК" и реализации произведенной продукции. Предприятием ведутся работы по получению разрешительных документов на строительство мини-заводов. Для развития ОАО "Хайдарканский ртутный комбинат" подписан Договор о совместной деятельности с китайской компанией ОсОО "Цзинлунь", разработан инвестиционный проект "Переработка комплексной руды месторождения "Новое" на модернизированной обогатительной фабрике Хайдарканского ртутного АО с внедрением передовых технологий обогащения комплексных руд, что позволит увеличить показатели извлечения полезных ископаемых ртути, сурьмы и флюорита более чем в два раза и достичь эффективной работы производства. Для бесперебойного обеспечения обогатительной фабрики комплексной рудой инвестор также намерен направить часть инвестиций в осушение затопленных рудных горизонтов шахты "Западная" и шахты "Вспомогательная", т.е. на ликвидацию последствий аварии;</w:t>
      </w:r>
    </w:p>
    <w:p>
      <w:pPr>
        <w:spacing w:after="60"/>
        <w:ind w:firstLine="567"/>
        <w:jc w:val="both"/>
      </w:pPr>
      <w:r>
        <w:rPr>
          <w:rFonts w:ascii="Arial" w:cs="Arial" w:eastAsia="Arial" w:hAnsi="Arial"/>
          <w:sz w:val="24"/>
          <w:szCs w:val="24"/>
        </w:rPr>
        <w:t xml:space="preserve">- наращивания объемов производства нефтеперерабатывающего завода (далее - НПЗ) "Джунда", Токмакского НПЗ, Джалал-Абадского НПЗ (ожидается рост объемов в 2017 году на 16,7%) 6 июня 2016 года в рамках официального визита главы Правительства Российской Федерации Д.Медведева подписано Соглашение между Правительством Кыргызской Республики и Правительством Российской Федерации о сотрудничестве нефти в сфере поставок нефти и нефтепродуктов. Необходимые объемы на 2017 год нефтеперерабатывающие заводы планируют обеспечить в рамках данного Соглашения;</w:t>
      </w:r>
    </w:p>
    <w:p>
      <w:pPr>
        <w:spacing w:after="60"/>
        <w:ind w:firstLine="567"/>
        <w:jc w:val="both"/>
      </w:pPr>
      <w:r>
        <w:rPr>
          <w:rFonts w:ascii="Arial" w:cs="Arial" w:eastAsia="Arial" w:hAnsi="Arial"/>
          <w:sz w:val="24"/>
          <w:szCs w:val="24"/>
        </w:rPr>
        <w:t xml:space="preserve">- стабильной работы предприятия ОАО "Интергласс", где объем производства листового стекла в 2017 году ожидается на уровне объемов 2016 года (18 млн. кв.м);</w:t>
      </w:r>
    </w:p>
    <w:p>
      <w:pPr>
        <w:spacing w:after="60"/>
        <w:ind w:firstLine="567"/>
        <w:jc w:val="both"/>
      </w:pPr>
      <w:r>
        <w:rPr>
          <w:rFonts w:ascii="Arial" w:cs="Arial" w:eastAsia="Arial" w:hAnsi="Arial"/>
          <w:sz w:val="24"/>
          <w:szCs w:val="24"/>
        </w:rPr>
        <w:t xml:space="preserve">- планируемого увеличения выработки электроэнергии в 2017 году с учетом существующего наполнения Токтогульского водохранилища с учетом среднемноголетней приточности реки Нарын, пуска двух новых агрегатов тепловой электростанции (далее - ТЭЦ) города Бишкек по 150 МВт и внутреннего потребления РЭКов по предварительным заявкам и как следствие восстановление объемов производства электроэнергии. Выработка электроэнергии в 2017 году прогнозируется в объеме 14646 млн. кВтч и физический рост составит 103,7% по сравнению с 2016 годом. При этом выработка на ТЭЦ города Бишкек снижается на 157,3 млн. кВтч, а на гидроэлектростанции (далее - ГЭС) увеличивается на 1771,7 млн. кВтч. Снижение выработки электроэнергии на ТЭЦ гор. Бишкек обусловлено оптимизацией режима загрузки станции по сравнению с 2016 годом. Увеличение выработки электроэнергии вызвано ростом внутреннего потребления электроэнергии. Исходя из сохранения и накопления водно-энергетических ресурсов, а также удовлетворения потребления электроэнергии на внутреннем рынке в 2017 году предусмотрен взаимообмен электроэнергии в объеме 250 млн. кВтч;</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продолжения работы по возобновлению работы простаивающих предприятий, оздоровлению хозяйствующих субъектов через процедуру банкротства, реструктуризацию и др.</w:t>
      </w:r>
    </w:p>
    <w:p>
      <w:pPr>
        <w:spacing w:after="60"/>
        <w:ind w:firstLine="567"/>
        <w:jc w:val="both"/>
      </w:pPr>
      <w:r>
        <w:rPr>
          <w:rFonts w:ascii="Arial" w:cs="Arial" w:eastAsia="Arial" w:hAnsi="Arial"/>
          <w:sz w:val="24"/>
          <w:szCs w:val="24"/>
        </w:rPr>
        <w:t xml:space="preserve">В результате ожидается отрицательный вклад сектора промышленности в рост ВВП, который составит 0,42 процентных пункта, в основном за счет снижения объемов на предприятии по разработке месторождения Кумтор, удельный вес которого занимает в структуре ВВП 8,6%, в промышленности - 43,4%. В целом промышленность в общем объеме ВВП занимает 16,6%.</w:t>
      </w:r>
    </w:p>
    <w:p>
      <w:pPr>
        <w:spacing w:after="60"/>
        <w:ind w:firstLine="567"/>
        <w:jc w:val="both"/>
      </w:pPr>
      <w:r>
        <w:rPr>
          <w:rFonts w:ascii="Arial" w:cs="Arial" w:eastAsia="Arial" w:hAnsi="Arial"/>
          <w:sz w:val="24"/>
          <w:szCs w:val="24"/>
        </w:rPr>
        <w:t xml:space="preserve">Основные риски не выполнения ожидаемых показателей являются:</w:t>
      </w:r>
    </w:p>
    <w:p>
      <w:pPr>
        <w:spacing w:after="60"/>
        <w:ind w:firstLine="567"/>
        <w:jc w:val="both"/>
      </w:pPr>
      <w:r>
        <w:rPr>
          <w:rFonts w:ascii="Arial" w:cs="Arial" w:eastAsia="Arial" w:hAnsi="Arial"/>
          <w:sz w:val="24"/>
          <w:szCs w:val="24"/>
        </w:rPr>
        <w:t xml:space="preserve">- не достижение верхнего предела запланированных объемов добычи на руднике Кумтор, которые могут быть связаны с оценкой минеральных запасов (не подтверждение запасов руды, хотя была заявлена согласно данных предыдущих лет производства), высоким уровнем графитного углерода для извлечения на ЗИФ, геотехническими рисками (устойчивость бортов карьера, движение ледника, отвалы пустой породы и т.д.);</w:t>
      </w:r>
    </w:p>
    <w:p>
      <w:pPr>
        <w:spacing w:after="60"/>
        <w:ind w:firstLine="567"/>
        <w:jc w:val="both"/>
      </w:pPr>
      <w:r>
        <w:rPr>
          <w:rFonts w:ascii="Arial" w:cs="Arial" w:eastAsia="Arial" w:hAnsi="Arial"/>
          <w:sz w:val="24"/>
          <w:szCs w:val="24"/>
        </w:rPr>
        <w:t xml:space="preserve">- низкая рентабельность производства золота, препятствующая дальнейшему развитию золотодобывающих филиалов ОАО "Кыргызалтын";</w:t>
      </w:r>
    </w:p>
    <w:p>
      <w:pPr>
        <w:spacing w:after="60"/>
        <w:ind w:firstLine="567"/>
        <w:jc w:val="both"/>
      </w:pPr>
      <w:r>
        <w:rPr>
          <w:rFonts w:ascii="Arial" w:cs="Arial" w:eastAsia="Arial" w:hAnsi="Arial"/>
          <w:sz w:val="24"/>
          <w:szCs w:val="24"/>
        </w:rPr>
        <w:t xml:space="preserve">- нерешенность вопросов по выдаче разрешений на рубку особо ценных древесных пород в Кыргызской Республике, процедуре трансформации и предоставления земельных участков, необходимых для строительства объектов инфраструктуры, и введение экспортной пошлины на вывоз концентратов, руд могут повлиять на пересмотр производственных планов OcOO "KAZ Minerals Bo</w:t>
      </w:r>
      <w:r>
        <w:rPr>
          <w:rFonts w:ascii="Arial" w:cs="Arial" w:eastAsia="Arial" w:hAnsi="Arial"/>
          <w:sz w:val="24"/>
          <w:szCs w:val="24"/>
        </w:rPr>
        <w:t xml:space="preserve">z</w:t>
      </w:r>
      <w:r>
        <w:rPr>
          <w:rFonts w:ascii="Arial" w:cs="Arial" w:eastAsia="Arial" w:hAnsi="Arial"/>
          <w:sz w:val="24"/>
          <w:szCs w:val="24"/>
        </w:rPr>
        <w:t xml:space="preserve">ymchak";</w:t>
      </w:r>
    </w:p>
    <w:p>
      <w:pPr>
        <w:spacing w:after="60"/>
        <w:ind w:firstLine="567"/>
        <w:jc w:val="both"/>
      </w:pPr>
      <w:r>
        <w:rPr>
          <w:rFonts w:ascii="Arial" w:cs="Arial" w:eastAsia="Arial" w:hAnsi="Arial"/>
          <w:sz w:val="24"/>
          <w:szCs w:val="24"/>
        </w:rPr>
        <w:t xml:space="preserve">- волатильность цен на сырьевые ресурсы (золото, сурьма, ртуть и др.);</w:t>
      </w:r>
    </w:p>
    <w:p>
      <w:pPr>
        <w:spacing w:after="60"/>
        <w:ind w:firstLine="567"/>
        <w:jc w:val="both"/>
      </w:pPr>
      <w:r>
        <w:rPr>
          <w:rFonts w:ascii="Arial" w:cs="Arial" w:eastAsia="Arial" w:hAnsi="Arial"/>
          <w:sz w:val="24"/>
          <w:szCs w:val="24"/>
        </w:rPr>
        <w:t xml:space="preserve">- технологические сбои в производстве - неритмичность подачи газа и электроэнергии, сырья и комплектующих материалов на промышленные предприятия, аварии и отказы оборудования вследствие повышенной изношенности, задержка подачи порожних вагонов со стороны ГП "Национальная компания "Кыргыз Темир Жолу" и пр.;</w:t>
      </w:r>
    </w:p>
    <w:p>
      <w:pPr>
        <w:spacing w:after="60"/>
        <w:ind w:firstLine="567"/>
        <w:jc w:val="both"/>
      </w:pPr>
      <w:r>
        <w:rPr>
          <w:rFonts w:ascii="Arial" w:cs="Arial" w:eastAsia="Arial" w:hAnsi="Arial"/>
          <w:sz w:val="24"/>
          <w:szCs w:val="24"/>
        </w:rPr>
        <w:t xml:space="preserve">- уменьшение спроса/заказов на продукцию промышленных предприятий (заказа Министерство обороны Индии на производство спецпродукции АО "ТНК "Дастан", оборонных предприятий Российской Федерации, в том числе Тульским патронным заводом, сокращение заказа на радиаторы автомобильными заводами Российской Федерации (из-за мирового кризиса автомобильной промышленности, в том числе и Российской Федерации (на 40-60%, соответственно снижается и спрос на радиаторы) и Республики Беларусь, уменьшение или отказ потребителей от заказа на поставку тракторных прицепов в Казахстан (данная продукция выпускается с учетом потребности Казахстана, в случае их отказа производство будет приостановлено, и др.);</w:t>
      </w:r>
    </w:p>
    <w:p>
      <w:pPr>
        <w:spacing w:after="60"/>
        <w:ind w:firstLine="567"/>
        <w:jc w:val="both"/>
      </w:pPr>
      <w:r>
        <w:rPr>
          <w:rFonts w:ascii="Arial" w:cs="Arial" w:eastAsia="Arial" w:hAnsi="Arial"/>
          <w:sz w:val="24"/>
          <w:szCs w:val="24"/>
        </w:rPr>
        <w:t xml:space="preserve">- неплатежеспособность покупателей;</w:t>
      </w:r>
    </w:p>
    <w:p>
      <w:pPr>
        <w:spacing w:after="60"/>
        <w:ind w:firstLine="567"/>
        <w:jc w:val="both"/>
      </w:pPr>
      <w:r>
        <w:rPr>
          <w:rFonts w:ascii="Arial" w:cs="Arial" w:eastAsia="Arial" w:hAnsi="Arial"/>
          <w:sz w:val="24"/>
          <w:szCs w:val="24"/>
        </w:rPr>
        <w:t xml:space="preserve">- наступление неблагоприятных природно-климатических условий для производства электроэнергии;</w:t>
      </w:r>
    </w:p>
    <w:p>
      <w:pPr>
        <w:spacing w:after="60"/>
        <w:ind w:firstLine="567"/>
        <w:jc w:val="both"/>
      </w:pPr>
      <w:r>
        <w:rPr>
          <w:rFonts w:ascii="Arial" w:cs="Arial" w:eastAsia="Arial" w:hAnsi="Arial"/>
          <w:sz w:val="24"/>
          <w:szCs w:val="24"/>
        </w:rPr>
        <w:t xml:space="preserve">3) в секторе строительства в 2017 году ожидается увеличение общего объема капитальных вложений, который составит 150,6 млрд. сомов, обусловленное за счет увеличения нижеперечисленных средств:</w:t>
      </w:r>
    </w:p>
    <w:p>
      <w:pPr>
        <w:spacing w:after="60"/>
        <w:ind w:firstLine="567"/>
        <w:jc w:val="both"/>
      </w:pPr>
      <w:r>
        <w:rPr>
          <w:rFonts w:ascii="Arial" w:cs="Arial" w:eastAsia="Arial" w:hAnsi="Arial"/>
          <w:sz w:val="24"/>
          <w:szCs w:val="24"/>
        </w:rPr>
        <w:t xml:space="preserve">- в расходе республиканского бюджета по статье "Капитальные вложения" предусмотрены средства в сумме 2900 млн. сомов;</w:t>
      </w:r>
    </w:p>
    <w:p>
      <w:pPr>
        <w:spacing w:after="60"/>
        <w:ind w:firstLine="567"/>
        <w:jc w:val="both"/>
      </w:pPr>
      <w:r>
        <w:rPr>
          <w:rFonts w:ascii="Arial" w:cs="Arial" w:eastAsia="Arial" w:hAnsi="Arial"/>
          <w:sz w:val="24"/>
          <w:szCs w:val="24"/>
        </w:rPr>
        <w:t xml:space="preserve">- поступления капитальных вложений за счет предприятий и организаций со стороны закрытого акционерного общества "Кумтор Голд компании" (6681,6 млн. сомов), открытого акционерного общества "Кыргызалтын" (93,7 млн. сомов), ОсОО "Алтынкен" (214,4 млн. сомов), ОсОО "KAZ Minerals Bozymchak" (338,5 млн. сомов), ОсОО "Шамшыкал-Ата компани" (2784,0 млн. сомов), китайской компании ООО "Хэнаньская деловая корпорация "Гуй Ю" (6960 млн. сомов), металлургической компании "Синьдин" (2088 млн. сомов), и др.;</w:t>
      </w:r>
    </w:p>
    <w:p>
      <w:pPr>
        <w:spacing w:after="60"/>
        <w:ind w:firstLine="567"/>
        <w:jc w:val="both"/>
      </w:pPr>
      <w:r>
        <w:rPr>
          <w:rFonts w:ascii="Arial" w:cs="Arial" w:eastAsia="Arial" w:hAnsi="Arial"/>
          <w:sz w:val="24"/>
          <w:szCs w:val="24"/>
        </w:rPr>
        <w:t xml:space="preserve">- за счет строительства:</w:t>
      </w:r>
    </w:p>
    <w:p>
      <w:pPr>
        <w:spacing w:after="60"/>
        <w:ind w:firstLine="567"/>
        <w:jc w:val="both"/>
      </w:pPr>
      <w:r>
        <w:rPr>
          <w:rFonts w:ascii="Arial" w:cs="Arial" w:eastAsia="Arial" w:hAnsi="Arial"/>
          <w:sz w:val="24"/>
          <w:szCs w:val="24"/>
        </w:rPr>
        <w:t xml:space="preserve">1) 4-х звездочной гостиницы, под брендом "Новотел" (1044 млн. сомов);</w:t>
      </w:r>
    </w:p>
    <w:p>
      <w:pPr>
        <w:spacing w:after="60"/>
        <w:ind w:firstLine="567"/>
        <w:jc w:val="both"/>
      </w:pPr>
      <w:r>
        <w:rPr>
          <w:rFonts w:ascii="Arial" w:cs="Arial" w:eastAsia="Arial" w:hAnsi="Arial"/>
          <w:sz w:val="24"/>
          <w:szCs w:val="24"/>
        </w:rPr>
        <w:t xml:space="preserve">2) завода по выпуску монолитных радиаторов (1740 млн. сомов);</w:t>
      </w:r>
    </w:p>
    <w:p>
      <w:pPr>
        <w:spacing w:after="60"/>
        <w:ind w:firstLine="567"/>
        <w:jc w:val="both"/>
      </w:pPr>
      <w:r>
        <w:rPr>
          <w:rFonts w:ascii="Arial" w:cs="Arial" w:eastAsia="Arial" w:hAnsi="Arial"/>
          <w:sz w:val="24"/>
          <w:szCs w:val="24"/>
        </w:rPr>
        <w:t xml:space="preserve">3) завода по переработке сульфидного медно-золотого концентрата (2088 млн. сомов);</w:t>
      </w:r>
    </w:p>
    <w:p>
      <w:pPr>
        <w:spacing w:after="60"/>
        <w:ind w:firstLine="567"/>
        <w:jc w:val="both"/>
      </w:pPr>
      <w:r>
        <w:rPr>
          <w:rFonts w:ascii="Arial" w:cs="Arial" w:eastAsia="Arial" w:hAnsi="Arial"/>
          <w:sz w:val="24"/>
          <w:szCs w:val="24"/>
        </w:rPr>
        <w:t xml:space="preserve">4) предприятия в городе Айдаркен по добыче ртути и сурьмы (208,8 млн. сомов);</w:t>
      </w:r>
    </w:p>
    <w:p>
      <w:pPr>
        <w:spacing w:after="60"/>
        <w:ind w:firstLine="567"/>
        <w:jc w:val="both"/>
      </w:pPr>
      <w:r>
        <w:rPr>
          <w:rFonts w:ascii="Arial" w:cs="Arial" w:eastAsia="Arial" w:hAnsi="Arial"/>
          <w:sz w:val="24"/>
          <w:szCs w:val="24"/>
        </w:rPr>
        <w:t xml:space="preserve">5) комбината по переработке мяса и молока в с.Красноречка Ысык-Атинского района (348 млн. сомов);</w:t>
      </w:r>
    </w:p>
    <w:p>
      <w:pPr>
        <w:spacing w:after="60"/>
        <w:ind w:firstLine="567"/>
        <w:jc w:val="both"/>
      </w:pPr>
      <w:r>
        <w:rPr>
          <w:rFonts w:ascii="Arial" w:cs="Arial" w:eastAsia="Arial" w:hAnsi="Arial"/>
          <w:sz w:val="24"/>
          <w:szCs w:val="24"/>
        </w:rPr>
        <w:t xml:space="preserve">6) текстильной фабрики в городе Кара-Балта (2436 млн. сомов) и т.д.;</w:t>
      </w:r>
    </w:p>
    <w:p>
      <w:pPr>
        <w:spacing w:after="60"/>
        <w:ind w:firstLine="567"/>
        <w:jc w:val="both"/>
      </w:pPr>
      <w:r>
        <w:rPr>
          <w:rFonts w:ascii="Arial" w:cs="Arial" w:eastAsia="Arial" w:hAnsi="Arial"/>
          <w:sz w:val="24"/>
          <w:szCs w:val="24"/>
        </w:rPr>
        <w:t xml:space="preserve">- реализации инвестиционных проектов и мер, заложенных в проекте бюджета по Программе государственных инвестиций на 2017 год прогнозируется в сумме 40,4 млрд.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2017 году на 11,5% и составит 146,2 млрд. сомов. Положительный вклад строительного сектора в темпы экономического роста составит 0,98 процентных пункта, а удельный вес в структуре производства ВВП - 9,0%;</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(50,5%), в 2017 году реальный рост сферы услуг ожидается на уровне 4,3%. Рост сферы услуг ожидается за счет следующих факторов:</w:t>
      </w:r>
    </w:p>
    <w:p>
      <w:pPr>
        <w:spacing w:after="60"/>
        <w:ind w:firstLine="567"/>
        <w:jc w:val="both"/>
      </w:pPr>
      <w:r>
        <w:rPr>
          <w:rFonts w:ascii="Arial" w:cs="Arial" w:eastAsia="Arial" w:hAnsi="Arial"/>
          <w:sz w:val="24"/>
          <w:szCs w:val="24"/>
        </w:rPr>
        <w:t xml:space="preserve">- стабильное увеличение потребительского спроса;</w:t>
      </w:r>
    </w:p>
    <w:p>
      <w:pPr>
        <w:spacing w:after="60"/>
        <w:ind w:firstLine="567"/>
        <w:jc w:val="both"/>
      </w:pPr>
      <w:r>
        <w:rPr>
          <w:rFonts w:ascii="Arial" w:cs="Arial" w:eastAsia="Arial" w:hAnsi="Arial"/>
          <w:sz w:val="24"/>
          <w:szCs w:val="24"/>
        </w:rPr>
        <w:t xml:space="preserve">- валовой выпуск торговли ожидается на уровне 108,3%;</w:t>
      </w:r>
    </w:p>
    <w:p>
      <w:pPr>
        <w:spacing w:after="60"/>
        <w:ind w:firstLine="567"/>
        <w:jc w:val="both"/>
      </w:pPr>
      <w:r>
        <w:rPr>
          <w:rFonts w:ascii="Arial" w:cs="Arial" w:eastAsia="Arial" w:hAnsi="Arial"/>
          <w:sz w:val="24"/>
          <w:szCs w:val="24"/>
        </w:rPr>
        <w:t xml:space="preserve">- рост услуг транспортной деятельности и хранения грузов - на уровне 102,7%;</w:t>
      </w:r>
    </w:p>
    <w:p>
      <w:pPr>
        <w:spacing w:after="60"/>
        <w:ind w:firstLine="567"/>
        <w:jc w:val="both"/>
      </w:pPr>
      <w:r>
        <w:rPr>
          <w:rFonts w:ascii="Arial" w:cs="Arial" w:eastAsia="Arial" w:hAnsi="Arial"/>
          <w:sz w:val="24"/>
          <w:szCs w:val="24"/>
        </w:rPr>
        <w:t xml:space="preserve">- рост деятельности гостиниц и ресторанов - на уровне 110,0%;</w:t>
      </w:r>
    </w:p>
    <w:p>
      <w:pPr>
        <w:spacing w:after="60"/>
        <w:ind w:firstLine="567"/>
        <w:jc w:val="both"/>
      </w:pPr>
      <w:r>
        <w:rPr>
          <w:rFonts w:ascii="Arial" w:cs="Arial" w:eastAsia="Arial" w:hAnsi="Arial"/>
          <w:sz w:val="24"/>
          <w:szCs w:val="24"/>
        </w:rPr>
        <w:t xml:space="preserve">- рост услуг связи - на уровне 101,0%;</w:t>
      </w:r>
    </w:p>
    <w:p>
      <w:pPr>
        <w:spacing w:after="60"/>
        <w:ind w:firstLine="567"/>
        <w:jc w:val="both"/>
      </w:pPr>
      <w:r>
        <w:rPr>
          <w:rFonts w:ascii="Arial" w:cs="Arial" w:eastAsia="Arial" w:hAnsi="Arial"/>
          <w:sz w:val="24"/>
          <w:szCs w:val="24"/>
        </w:rPr>
        <w:t xml:space="preserve">- информационная кампания предстоящих президентских выборов;</w:t>
      </w:r>
    </w:p>
    <w:p>
      <w:pPr>
        <w:spacing w:after="60"/>
        <w:ind w:firstLine="567"/>
        <w:jc w:val="both"/>
      </w:pPr>
      <w:r>
        <w:rPr>
          <w:rFonts w:ascii="Arial" w:cs="Arial" w:eastAsia="Arial" w:hAnsi="Arial"/>
          <w:sz w:val="24"/>
          <w:szCs w:val="24"/>
        </w:rPr>
        <w:t xml:space="preserve">- улучшение условий для отечественных грузоперевозчиков в оказании международных автотранспортных услуг; расширение географии полетов на воздушном судне;</w:t>
      </w:r>
    </w:p>
    <w:p>
      <w:pPr>
        <w:spacing w:after="60"/>
        <w:ind w:firstLine="567"/>
        <w:jc w:val="both"/>
      </w:pPr>
      <w:r>
        <w:rPr>
          <w:rFonts w:ascii="Arial" w:cs="Arial" w:eastAsia="Arial" w:hAnsi="Arial"/>
          <w:sz w:val="24"/>
          <w:szCs w:val="24"/>
        </w:rPr>
        <w:t xml:space="preserve">- улучшение экономической ситуации в государствах-членах ЕАЭС;</w:t>
      </w:r>
    </w:p>
    <w:p>
      <w:pPr>
        <w:spacing w:after="60"/>
        <w:ind w:firstLine="567"/>
        <w:jc w:val="both"/>
      </w:pPr>
      <w:r>
        <w:rPr>
          <w:rFonts w:ascii="Arial" w:cs="Arial" w:eastAsia="Arial" w:hAnsi="Arial"/>
          <w:sz w:val="24"/>
          <w:szCs w:val="24"/>
        </w:rPr>
        <w:t xml:space="preserve">- рост денежных доходов населения (заработная плата);</w:t>
      </w:r>
    </w:p>
    <w:p>
      <w:pPr>
        <w:spacing w:after="60"/>
        <w:ind w:firstLine="567"/>
        <w:jc w:val="both"/>
      </w:pPr>
      <w:r>
        <w:rPr>
          <w:rFonts w:ascii="Arial" w:cs="Arial" w:eastAsia="Arial" w:hAnsi="Arial"/>
          <w:sz w:val="24"/>
          <w:szCs w:val="24"/>
        </w:rPr>
        <w:t xml:space="preserve">- улучшение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 адаптация экономики к условиям ЕАЭС;</w:t>
      </w:r>
    </w:p>
    <w:p>
      <w:pPr>
        <w:spacing w:after="60"/>
        <w:ind w:firstLine="567"/>
        <w:jc w:val="both"/>
      </w:pPr>
      <w:r>
        <w:rPr>
          <w:rFonts w:ascii="Arial" w:cs="Arial" w:eastAsia="Arial" w:hAnsi="Arial"/>
          <w:sz w:val="24"/>
          <w:szCs w:val="24"/>
        </w:rPr>
        <w:t xml:space="preserve">- приведение в соответствие технических регламентов в рамках ЕАЭС.</w:t>
      </w:r>
    </w:p>
    <w:p>
      <w:pPr>
        <w:spacing w:after="60"/>
        <w:ind w:firstLine="567"/>
        <w:jc w:val="both"/>
      </w:pPr>
      <w:r>
        <w:rPr>
          <w:rFonts w:ascii="Arial" w:cs="Arial" w:eastAsia="Arial" w:hAnsi="Arial"/>
          <w:sz w:val="24"/>
          <w:szCs w:val="24"/>
        </w:rPr>
        <w:t xml:space="preserve">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изменение тарифной политики и т.д.). Уровень инфляции в 2017 году ожидается на уровне 3,5% (январь-декабрь 2017 года к январю-декабрю 2016 года).</w:t>
      </w:r>
    </w:p>
    <w:p>
      <w:pPr>
        <w:spacing w:after="60"/>
        <w:ind w:firstLine="567"/>
        <w:jc w:val="both"/>
      </w:pPr>
      <w:r>
        <w:rPr>
          <w:rFonts w:ascii="Arial" w:cs="Arial" w:eastAsia="Arial" w:hAnsi="Arial"/>
          <w:sz w:val="24"/>
          <w:szCs w:val="24"/>
        </w:rPr>
        <w:t xml:space="preserve">Основными факторами, влияющими на уровень инфляции, могут быть:</w:t>
      </w:r>
    </w:p>
    <w:p>
      <w:pPr>
        <w:spacing w:after="60"/>
        <w:ind w:firstLine="567"/>
        <w:jc w:val="both"/>
      </w:pPr>
      <w:r>
        <w:rPr>
          <w:rFonts w:ascii="Arial" w:cs="Arial" w:eastAsia="Arial" w:hAnsi="Arial"/>
          <w:sz w:val="24"/>
          <w:szCs w:val="24"/>
        </w:rPr>
        <w:t xml:space="preserve">- сохранение благоприятной ценовой конъюнктуры на мировых рынках продовольствия и сырья;</w:t>
      </w:r>
    </w:p>
    <w:p>
      <w:pPr>
        <w:spacing w:after="60"/>
        <w:ind w:firstLine="567"/>
        <w:jc w:val="both"/>
      </w:pPr>
      <w:r>
        <w:rPr>
          <w:rFonts w:ascii="Arial" w:cs="Arial" w:eastAsia="Arial" w:hAnsi="Arial"/>
          <w:sz w:val="24"/>
          <w:szCs w:val="24"/>
        </w:rPr>
        <w:t xml:space="preserve">- стабильная динамика экспортных цен на казахстанскую пшеницу;</w:t>
      </w:r>
    </w:p>
    <w:p>
      <w:pPr>
        <w:spacing w:after="60"/>
        <w:ind w:firstLine="567"/>
        <w:jc w:val="both"/>
      </w:pPr>
      <w:r>
        <w:rPr>
          <w:rFonts w:ascii="Arial" w:cs="Arial" w:eastAsia="Arial" w:hAnsi="Arial"/>
          <w:sz w:val="24"/>
          <w:szCs w:val="24"/>
        </w:rPr>
        <w:t xml:space="preserve">- увеличение внутреннего спроса, главным образом, за счет роста денежных переводов;</w:t>
      </w:r>
    </w:p>
    <w:p>
      <w:pPr>
        <w:spacing w:after="60"/>
        <w:ind w:firstLine="567"/>
        <w:jc w:val="both"/>
      </w:pPr>
      <w:r>
        <w:rPr>
          <w:rFonts w:ascii="Arial" w:cs="Arial" w:eastAsia="Arial" w:hAnsi="Arial"/>
          <w:sz w:val="24"/>
          <w:szCs w:val="24"/>
        </w:rPr>
        <w:t xml:space="preserve">- влияние высоких показателей сельскохозяйственного сектора;</w:t>
      </w:r>
    </w:p>
    <w:p>
      <w:pPr>
        <w:spacing w:after="60"/>
        <w:ind w:firstLine="567"/>
        <w:jc w:val="both"/>
      </w:pPr>
      <w:r>
        <w:rPr>
          <w:rFonts w:ascii="Arial" w:cs="Arial" w:eastAsia="Arial" w:hAnsi="Arial"/>
          <w:sz w:val="24"/>
          <w:szCs w:val="24"/>
        </w:rPr>
        <w:t xml:space="preserve">- отсутствие повышение тарифов на электроэнергию в 2017 году, в 2018-2020 годах - плановое повышение тарифов на электрическую и тепловую энергию;</w:t>
      </w:r>
    </w:p>
    <w:p>
      <w:pPr>
        <w:spacing w:after="60"/>
        <w:ind w:firstLine="567"/>
        <w:jc w:val="both"/>
      </w:pPr>
      <w:r>
        <w:rPr>
          <w:rFonts w:ascii="Arial" w:cs="Arial" w:eastAsia="Arial" w:hAnsi="Arial"/>
          <w:sz w:val="24"/>
          <w:szCs w:val="24"/>
        </w:rPr>
        <w:t xml:space="preserve">- инфляционные ожидания населения;</w:t>
      </w:r>
    </w:p>
    <w:p>
      <w:pPr>
        <w:spacing w:after="60"/>
        <w:ind w:firstLine="567"/>
        <w:jc w:val="both"/>
      </w:pPr>
      <w:r>
        <w:rPr>
          <w:rFonts w:ascii="Arial" w:cs="Arial" w:eastAsia="Arial" w:hAnsi="Arial"/>
          <w:sz w:val="24"/>
          <w:szCs w:val="24"/>
        </w:rPr>
        <w:t xml:space="preserve">- волатильность обменного курса.</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улучшения или ухудшения внешней конъюнктуры рынка. Рост уровня инфляции в Российской Федерации ожидается на уровне 4,0%, в Республике Казахстан - в коридоре 6,0-8,0%, в Республике Беларусь - до 9%, в Республике Армения - до 2%.</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45,8%) и непродовольственных товаров (удельный вес - 30,2%) ввозится из стран - основных торговых партнеров и оплачивается в иностранной валюте, что также будет оказывать определенное влияние на рост/снижение цен, который будет зависеть от колебания обменного курса, а также роста/снижения цен на продовольственные товары и импорт.</w:t>
      </w:r>
    </w:p>
    <w:p>
      <w:pPr>
        <w:spacing w:after="60"/>
        <w:ind w:firstLine="567"/>
        <w:jc w:val="both"/>
      </w:pPr>
      <w:r>
        <w:rPr>
          <w:rFonts w:ascii="Arial" w:cs="Arial" w:eastAsia="Arial" w:hAnsi="Arial"/>
          <w:sz w:val="24"/>
          <w:szCs w:val="24"/>
        </w:rPr>
        <w:t xml:space="preserve">Воздействие на инфляцию будут продолжать оказывать прогнозы международных организаций по основным видам продуктов, которые будут положительно/отрицательно сказываться на динамике потребительских цен на продовольственные товары.</w:t>
      </w:r>
    </w:p>
    <w:p>
      <w:pPr>
        <w:spacing w:after="60"/>
        <w:ind w:firstLine="567"/>
        <w:jc w:val="both"/>
      </w:pPr>
      <w:r>
        <w:rPr>
          <w:rFonts w:ascii="Arial" w:cs="Arial" w:eastAsia="Arial" w:hAnsi="Arial"/>
          <w:sz w:val="24"/>
          <w:szCs w:val="24"/>
        </w:rPr>
        <w:t xml:space="preserve">Новый прогноз Продовольственной и Сельскохозяйственной Организации ООН (далее - ФАО) свидетельствует о спаде производства пшеницы после рекордного урожая 2016 года (по данным сводки ФАО "Предложение зерновых и спрос на зерновые" за март 2017 года). ФАО по мировому производству пшеницы на 2017 год прогнозирует объем производства на уровне 744,5 млн. тонн, что будет означать снижение на 1,8% по сравнению с рекордным уровнем производства 2016 года. Прогноз по производству фуражного зерна (кукурузы), по большей части благоприятен в южном полушарии, где урожай практически созрел. При этом, глобальная ситуация с предложением зерновых и спросом на зерновые в сезоне 2016/17 годы останется в целом "комфортной" на протяжении третьего сезона подряд.</w:t>
      </w:r>
    </w:p>
    <w:p>
      <w:pPr>
        <w:spacing w:after="60"/>
        <w:ind w:firstLine="567"/>
        <w:jc w:val="both"/>
      </w:pPr>
      <w:r>
        <w:rPr>
          <w:rFonts w:ascii="Arial" w:cs="Arial" w:eastAsia="Arial" w:hAnsi="Arial"/>
          <w:sz w:val="24"/>
          <w:szCs w:val="24"/>
        </w:rPr>
        <w:t xml:space="preserve">Однако, в отчете Международного Совета по зерну (</w:t>
      </w:r>
      <w:r>
        <w:rPr>
          <w:rFonts w:ascii="Arial" w:cs="Arial" w:eastAsia="Arial" w:hAnsi="Arial"/>
          <w:sz w:val="24"/>
          <w:szCs w:val="24"/>
        </w:rPr>
        <w:t xml:space="preserve">IGC</w:t>
      </w:r>
      <w:r>
        <w:rPr>
          <w:rFonts w:ascii="Arial" w:cs="Arial" w:eastAsia="Arial" w:hAnsi="Arial"/>
          <w:sz w:val="24"/>
          <w:szCs w:val="24"/>
        </w:rPr>
        <w:t xml:space="preserve">) повышены оценки по всем статьям мирового зернового баланса в сезоне 2016-2017 годов. Увеличен прогноз мирового производства зерна на 10 млн. тонн, с 2084 до 2094 млн. тонн.</w:t>
      </w:r>
    </w:p>
    <w:p>
      <w:pPr>
        <w:spacing w:after="60"/>
        <w:ind w:firstLine="567"/>
        <w:jc w:val="both"/>
      </w:pPr>
      <w:r>
        <w:rPr>
          <w:rFonts w:ascii="Arial" w:cs="Arial" w:eastAsia="Arial" w:hAnsi="Arial"/>
          <w:sz w:val="24"/>
          <w:szCs w:val="24"/>
        </w:rPr>
        <w:t xml:space="preserve">По данным Международного Совета по зерну (</w:t>
      </w:r>
      <w:r>
        <w:rPr>
          <w:rFonts w:ascii="Arial" w:cs="Arial" w:eastAsia="Arial" w:hAnsi="Arial"/>
          <w:sz w:val="24"/>
          <w:szCs w:val="24"/>
        </w:rPr>
        <w:t xml:space="preserve">IGC</w:t>
      </w:r>
      <w:r>
        <w:rPr>
          <w:rFonts w:ascii="Arial" w:cs="Arial" w:eastAsia="Arial" w:hAnsi="Arial"/>
          <w:sz w:val="24"/>
          <w:szCs w:val="24"/>
        </w:rPr>
        <w:t xml:space="preserve">), для Российской Федерации повышен прогноз производства зерна, общий годовой зерновой баланс, внутреннее потребление зерна за счет его фуражного использования, снижен прогноз экспорта, но повышены конечные остатки зерновых культур, производство увеличено с 111,8 до 113,4 млн. тонн, импорт составит 0,8 млн. тонн. Общее внутреннее потребление увеличено с 69,6 до 70,4 млн. тонн. Для Республики Казахстан значительно снижен прогноз производства зерна, общий сезонный зерновой баланс, экспорт и конечные остатки зерна, но повышен уровень внутреннего потребления за счет увеличения затрат зерна на фуражные цели. В сезоне 2016-2017 годов при начальных запасах в 3,2 млн. тонн производство снижено с 21 до 19,4 млн. тонн, импорт остался прежним - 0,1 млн. тонн, потребление увеличено с 10,1 до 10,5 млн. тонн. Прогноз экспорта сокращен с 9,8 до 8,7 млн. тонн, а конечные запасы зерна - с 4,3 до 3,5 млн. тонн.</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2017 году будет обеспечиваться за счет функционирования экономик гор. Бишкек, Чуйской, Иссык-Кульской и Джалал-Абадской областей, с удельным весом 77,4%, суммарный вклад которых в рост ВВП республики составит 2,29 процентных пункта Значительные доли в общем объеме производства ВВП Джалал-Абадской (11,8%) и Иссык-Кульской (11,1%)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22,6% - Ошской, Баткенской, Нарынской, Таласской и городом Ош.</w:t>
      </w:r>
    </w:p>
    <w:p>
      <w:pPr>
        <w:spacing w:after="240" w:before="240"/>
        <w:ind w:firstLine="567"/>
        <w:jc w:val="right"/>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1"/>
        <w:gridCol w:w="1225"/>
        <w:gridCol w:w="1225"/>
        <w:gridCol w:w="1374"/>
        <w:gridCol w:w="1374"/>
        <w:gridCol w:w="1374"/>
        <w:gridCol w:w="1374"/>
      </w:tblGrid>
      <w:tr>
        <w:tc>
          <w:tcPr>
            <w:tcW w:type="dxa" w:w="22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4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оценка</w:t>
            </w:r>
          </w:p>
        </w:tc>
        <w:tc>
          <w:tcPr>
            <w:tcW w:type="dxa" w:w="54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17117,3</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54252,0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54237,8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12044,4</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32477,8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35444,6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15279,5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16331,3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76283,5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171702,9</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2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24632,5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bl>
    <w:p>
      <w:pPr>
        <w:spacing w:after="60" w:before="120"/>
        <w:ind w:firstLine="567"/>
        <w:jc w:val="both"/>
      </w:pPr>
      <w:r>
        <w:rPr>
          <w:rFonts w:ascii="Arial" w:cs="Arial" w:eastAsia="Arial" w:hAnsi="Arial"/>
          <w:sz w:val="24"/>
          <w:szCs w:val="24"/>
        </w:rPr>
        <w:t xml:space="preserve">Принимая во внимание ожидаемые параметры развития экономики в 2017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увеличится на 5,7% и ожидается в размере 83,2 тыс. сомов;</w:t>
      </w:r>
    </w:p>
    <w:p>
      <w:pPr>
        <w:spacing w:after="60"/>
        <w:ind w:firstLine="567"/>
        <w:jc w:val="both"/>
      </w:pPr>
      <w:r>
        <w:rPr>
          <w:rFonts w:ascii="Arial" w:cs="Arial" w:eastAsia="Arial" w:hAnsi="Arial"/>
          <w:sz w:val="24"/>
          <w:szCs w:val="24"/>
        </w:rPr>
        <w:t xml:space="preserve">- ожидается номинальный рост денежных доходов на 6,9%, а с учетом ожидаемого роста потребительских цен - на 3,3%;</w:t>
      </w:r>
    </w:p>
    <w:p>
      <w:pPr>
        <w:spacing w:after="60"/>
        <w:ind w:firstLine="567"/>
        <w:jc w:val="both"/>
      </w:pPr>
      <w:r>
        <w:rPr>
          <w:rFonts w:ascii="Arial" w:cs="Arial" w:eastAsia="Arial" w:hAnsi="Arial"/>
          <w:sz w:val="24"/>
          <w:szCs w:val="24"/>
        </w:rPr>
        <w:t xml:space="preserve">- в структуре денежных доходов ожидается рост среднемесячной заработной платы, которая номинально вырастет на 7,0%, а ее реальный размер с учетом роста потребительских цен - на 3,4%;</w:t>
      </w:r>
    </w:p>
    <w:p>
      <w:pPr>
        <w:spacing w:after="60"/>
        <w:ind w:firstLine="567"/>
        <w:jc w:val="both"/>
      </w:pPr>
      <w:r>
        <w:rPr>
          <w:rFonts w:ascii="Arial" w:cs="Arial" w:eastAsia="Arial" w:hAnsi="Arial"/>
          <w:sz w:val="24"/>
          <w:szCs w:val="24"/>
        </w:rPr>
        <w:t xml:space="preserve">- размер прожиточного минимума ожидается на уровне 4962,1 сомов. Коэффициент отношения среднемесячной заработной платы к прожиточному минимуму на взрослое население трудоспособного возраста сложится на уровне 2,8;</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Данные меры будут способствовать снижению уровня безработицы до 7,4% в 2017 году, снизившись на 0,2 процентных пункта по сравнению с 2015 годом.</w:t>
      </w:r>
    </w:p>
    <w:p>
      <w:pPr>
        <w:spacing w:after="200" w:before="200"/>
        <w:jc w:val="center"/>
      </w:pPr>
      <w:r>
        <w:rPr>
          <w:rFonts w:ascii="Arial" w:cs="Arial" w:eastAsia="Arial" w:hAnsi="Arial"/>
          <w:b/>
          <w:bCs/>
          <w:sz w:val="24"/>
          <w:szCs w:val="24"/>
        </w:rPr>
        <w:t xml:space="preserve">6. Макроэкономический прогноз на 2018 год</w:t>
      </w:r>
    </w:p>
    <w:p>
      <w:pPr>
        <w:spacing w:after="60" w:before="200"/>
        <w:ind w:firstLine="567"/>
        <w:jc w:val="left"/>
      </w:pPr>
      <w:r>
        <w:rPr>
          <w:rFonts w:ascii="Arial" w:cs="Arial" w:eastAsia="Arial" w:hAnsi="Arial"/>
          <w:b/>
          <w:bCs/>
          <w:sz w:val="24"/>
          <w:szCs w:val="24"/>
        </w:rPr>
        <w:t xml:space="preserve">6.1. Макроэкономическая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2018 год является обеспечение макроэкономической стабильности для устойчивого развития.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В 2018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2018 год заложены следующие факторы:</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прогнозируемый экономический рост мировой экономики (рост на 3,6%), еврозоны (на 1,6%), Китайской Народной Республики (на 6,0%); государств-членов ЕАЭС - в Российской Федерации (на 1,0-2,0%), Республике Беларусь (на 1,3%), Республике Казахстан (на 2,1%), Республике Армения (на 3,0%);</w:t>
      </w:r>
    </w:p>
    <w:p>
      <w:pPr>
        <w:spacing w:after="60"/>
        <w:ind w:firstLine="567"/>
        <w:jc w:val="both"/>
      </w:pPr>
      <w:r>
        <w:rPr>
          <w:rFonts w:ascii="Arial" w:cs="Arial" w:eastAsia="Arial" w:hAnsi="Arial"/>
          <w:sz w:val="24"/>
          <w:szCs w:val="24"/>
        </w:rPr>
        <w:t xml:space="preserve">- прогнозируемый умеренный рост инфляции (в % к декабрю предыдущего года) в странах - основных торговых партнерах Кыргызской Республики в Российской Федерации (4,0%), Казахстане (5,0-7,0%), Китайской Народной Республике (2,3%);</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повышение конкурентоспособности отечественных производителей на рынках государств-членов ЕАЭС;</w:t>
      </w:r>
    </w:p>
    <w:p>
      <w:pPr>
        <w:spacing w:after="60"/>
        <w:ind w:firstLine="567"/>
        <w:jc w:val="both"/>
      </w:pPr>
      <w:r>
        <w:rPr>
          <w:rFonts w:ascii="Arial" w:cs="Arial" w:eastAsia="Arial" w:hAnsi="Arial"/>
          <w:sz w:val="24"/>
          <w:szCs w:val="24"/>
        </w:rPr>
        <w:t xml:space="preserve">- увеличение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увеличение потребительского спроса;</w:t>
      </w:r>
    </w:p>
    <w:p>
      <w:pPr>
        <w:spacing w:after="60"/>
        <w:ind w:firstLine="567"/>
        <w:jc w:val="both"/>
      </w:pPr>
      <w:r>
        <w:rPr>
          <w:rFonts w:ascii="Arial" w:cs="Arial" w:eastAsia="Arial" w:hAnsi="Arial"/>
          <w:sz w:val="24"/>
          <w:szCs w:val="24"/>
        </w:rPr>
        <w:t xml:space="preserve">- зависимость экономики страны от волатильности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На основе учета вышеуказанных предпосылок и предположений, экономический рост в 2018 году ожидается на уровне 3,6% с номинальным объемом в 538,1 млрд. сомов, а без учета предприятий по разработке месторождения "Кумтор" - на уровне 4,8%.</w:t>
      </w:r>
    </w:p>
    <w:p>
      <w:pPr>
        <w:spacing w:after="60"/>
        <w:ind w:firstLine="567"/>
        <w:jc w:val="both"/>
      </w:pPr>
      <w:r>
        <w:rPr>
          <w:rFonts w:ascii="Arial" w:cs="Arial" w:eastAsia="Arial" w:hAnsi="Arial"/>
          <w:sz w:val="24"/>
          <w:szCs w:val="24"/>
        </w:rPr>
        <w:t xml:space="preserve">Экономический рост, прогнозируемый на уровне 3,6%, будет поддерживаться со стороны практически всех секторов реальной экономики, формирующих ВВП страны, за исключением промышленности. При этом наибольший вклад будет обеспечен со стороны сектора услуг - 1,92 процентного пункта, строительства - 0,95 процентного пункта, сельского хозяйства - 0,41 процентного пункта, суммарный вклад которых составит 3,28 процентного пункта, а вклад промышленности (-0,07 процентного пункта) будет отрицательным.</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2018 год прогнозируются следующим образом:</w:t>
      </w:r>
    </w:p>
    <w:p>
      <w:pPr>
        <w:spacing w:after="240" w:before="240"/>
        <w:ind w:firstLine="567"/>
        <w:jc w:val="right"/>
      </w:pPr>
      <w:r>
        <w:rPr>
          <w:rFonts w:ascii="Arial" w:cs="Arial" w:eastAsia="Arial" w:hAnsi="Arial"/>
          <w:sz w:val="24"/>
          <w:szCs w:val="24"/>
        </w:rPr>
        <w:t xml:space="preserve">Таблица 11</w:t>
      </w:r>
    </w:p>
    <w:p>
      <w:pPr>
        <w:spacing w:after="6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24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5"/>
        <w:gridCol w:w="1014"/>
        <w:gridCol w:w="1014"/>
        <w:gridCol w:w="1014"/>
        <w:gridCol w:w="1014"/>
        <w:gridCol w:w="1027"/>
        <w:gridCol w:w="1027"/>
        <w:gridCol w:w="1027"/>
        <w:gridCol w:w="1027"/>
      </w:tblGrid>
      <w:tr>
        <w:tc>
          <w:tcPr>
            <w:tcW w:type="dxa" w:w="20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41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82105,8</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87471,8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63741,7</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68083,8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44451,0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50379,5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249554,4</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273288,5</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2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58911,1</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bl>
    <w:p>
      <w:pPr>
        <w:spacing w:after="60" w:before="120"/>
        <w:ind w:firstLine="567"/>
        <w:jc w:val="both"/>
      </w:pPr>
      <w:r>
        <w:rPr>
          <w:rFonts w:ascii="Arial" w:cs="Arial" w:eastAsia="Arial" w:hAnsi="Arial"/>
          <w:sz w:val="24"/>
          <w:szCs w:val="24"/>
        </w:rPr>
        <w:t xml:space="preserve">В региональном разрезе основная доля производства ВВП в 2018 году будет обеспечиваться за счет функционирования экономики города Бишкек, Чуйской, Иссык-Кульской, Джалал-Абадской областей, с </w:t>
      </w:r>
      <w:r>
        <w:rPr>
          <w:rFonts w:ascii="Arial" w:cs="Arial" w:eastAsia="Arial" w:hAnsi="Arial"/>
          <w:sz w:val="24"/>
          <w:szCs w:val="24"/>
        </w:rPr>
        <w:t xml:space="preserve">удельным весом 77,2%, суммарный вклад которых в ВВП республики составит 2,58%.</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1,06% между Ошской, Баткенской, Нарынской и Таласской областями и городом Ош.</w:t>
      </w:r>
    </w:p>
    <w:p>
      <w:pPr>
        <w:spacing w:after="240" w:before="240"/>
        <w:ind w:firstLine="567"/>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2"/>
        <w:gridCol w:w="1301"/>
        <w:gridCol w:w="1301"/>
        <w:gridCol w:w="1351"/>
        <w:gridCol w:w="1351"/>
        <w:gridCol w:w="1351"/>
        <w:gridCol w:w="1351"/>
      </w:tblGrid>
      <w:tr>
        <w:tc>
          <w:tcPr>
            <w:tcW w:type="dxa" w:w="21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54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r>
      <w:tr>
        <w:tc>
          <w:tcPr>
            <w:vMerge w:val="continue"/>
            <w:tcBorders>
              <w:top w:val="single" w:color="CBBF9E" w:sz="4"/>
              <w:left w:val="single" w:color="CBBF9E" w:sz="4"/>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103,6</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18356,7</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58080,5</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63368,2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54722,4</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55583,7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13903,9</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15272,5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35444,6</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39269,4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16331,3</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17773,5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82562,5</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90977,3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187185,5</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205453,8</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r>
      <w:tr>
        <w:tc>
          <w:tcPr>
            <w:tcW w:type="dxa" w:w="2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27475,8</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30560,0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bl>
    <w:p>
      <w:pPr>
        <w:spacing w:after="60" w:before="120"/>
        <w:ind w:firstLine="567"/>
        <w:jc w:val="both"/>
      </w:pPr>
      <w:r>
        <w:rPr>
          <w:rFonts w:ascii="Arial" w:cs="Arial" w:eastAsia="Arial" w:hAnsi="Arial"/>
          <w:sz w:val="24"/>
          <w:szCs w:val="24"/>
        </w:rPr>
        <w:t xml:space="preserve">Для закрепления положительной динамики развития макроэкономических показателей 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постепенное уменьшение отрицательного сальдо торгового баланса.</w:t>
      </w:r>
    </w:p>
    <w:p>
      <w:pPr>
        <w:spacing w:after="60" w:before="200"/>
        <w:ind w:firstLine="567"/>
        <w:jc w:val="left"/>
      </w:pPr>
      <w:r>
        <w:rPr>
          <w:rFonts w:ascii="Arial" w:cs="Arial" w:eastAsia="Arial" w:hAnsi="Arial"/>
          <w:b/>
          <w:bCs/>
          <w:sz w:val="24"/>
          <w:szCs w:val="24"/>
        </w:rPr>
        <w:t xml:space="preserve">6.2. Денежно-кредитная политика</w:t>
      </w:r>
    </w:p>
    <w:p>
      <w:pPr>
        <w:spacing w:after="60"/>
        <w:ind w:firstLine="567"/>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Кыргызской Республики от 17 декабря 2014 года № 55/3).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 Стабильный уровень цен является необходимым условием макроэкономической стабильности, достижение которой представляется неотъемлемым фактором экономического роста в Кыргызской Республике.</w:t>
      </w:r>
    </w:p>
    <w:p>
      <w:pPr>
        <w:spacing w:after="60"/>
        <w:ind w:firstLine="567"/>
        <w:jc w:val="both"/>
      </w:pPr>
      <w:r>
        <w:rPr>
          <w:rFonts w:ascii="Arial" w:cs="Arial" w:eastAsia="Arial" w:hAnsi="Arial"/>
          <w:sz w:val="24"/>
          <w:szCs w:val="24"/>
        </w:rPr>
        <w:t xml:space="preserve">Национальный банк продолжит работу по развитию основы денежно-кредитной политики, использующей учетную ставку Национального банка в качестве промежуточного ориентира политики и модернизации используемых инструментов денежно-кредитной политики. Это позволит в дальнейшем усилить работу процентного трансмиссионного канала и воздействие учетной ставки Национального банка на рыночные ставки.</w:t>
      </w:r>
    </w:p>
    <w:p>
      <w:pPr>
        <w:spacing w:after="60"/>
        <w:ind w:firstLine="567"/>
        <w:jc w:val="both"/>
      </w:pPr>
      <w:r>
        <w:rPr>
          <w:rFonts w:ascii="Arial" w:cs="Arial" w:eastAsia="Arial" w:hAnsi="Arial"/>
          <w:sz w:val="24"/>
          <w:szCs w:val="24"/>
        </w:rPr>
        <w:t xml:space="preserve">Будет продолжена координация работы с сектором финансовых институтов развития, роль которого в развитии экономики страны возрастает. Такая координация позволит данному сектору оказывать ресурсную поддержку реальному сектору экономики с учетом потенциального воздействия их денежного предложения на инфляционные процессы.</w:t>
      </w:r>
    </w:p>
    <w:p>
      <w:pPr>
        <w:spacing w:after="60"/>
        <w:ind w:firstLine="567"/>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будет продолжено осуществление мероприятий по увеличению доли безналичных расчетов. Приоритетными направлениями являются развитие рынка розничных платежей, увеличение степени оказания платежных услуг на территории Кыргызской Республики.</w:t>
      </w:r>
    </w:p>
    <w:p>
      <w:pPr>
        <w:spacing w:after="60"/>
        <w:ind w:firstLine="567"/>
        <w:jc w:val="both"/>
      </w:pPr>
      <w:r>
        <w:rPr>
          <w:rFonts w:ascii="Arial" w:cs="Arial" w:eastAsia="Arial" w:hAnsi="Arial"/>
          <w:sz w:val="24"/>
          <w:szCs w:val="24"/>
        </w:rPr>
        <w:t xml:space="preserve">Валютная политика по-прежнему будет проводиться в соответствии с выбранным в стране режимом плавающего обменного курса. Проведение интервенций будет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пополнения объема международных резервов, с учетом ситуации на мировых финансовых рынках, будет продолжена работа по проведению операций по покупке золота на внутреннем рынке страны за национальную валюту.</w:t>
      </w:r>
    </w:p>
    <w:p>
      <w:pPr>
        <w:spacing w:after="60"/>
        <w:ind w:firstLine="567"/>
        <w:jc w:val="both"/>
      </w:pPr>
      <w:r>
        <w:rPr>
          <w:rFonts w:ascii="Arial" w:cs="Arial" w:eastAsia="Arial" w:hAnsi="Arial"/>
          <w:sz w:val="24"/>
          <w:szCs w:val="24"/>
        </w:rPr>
        <w:t xml:space="preserve">Большое значение будет уделено коммуникационной политике. Активная реализация данной функции при проведении денежно-кредитной политики позволит повысить уровень общественного понимания изменений в экономической и финансовой среде, формируя, таким образом, оптимальное рыночное поведение субъектов экономики, в том числе рациональные инфляционные ожидания и ожидания относительно будущих решений в денежно-кредитной сфере.</w:t>
      </w:r>
    </w:p>
    <w:p>
      <w:pPr>
        <w:spacing w:after="60" w:before="200"/>
        <w:ind w:firstLine="567"/>
        <w:jc w:val="left"/>
      </w:pPr>
      <w:r>
        <w:rPr>
          <w:rFonts w:ascii="Arial" w:cs="Arial" w:eastAsia="Arial" w:hAnsi="Arial"/>
          <w:b/>
          <w:bCs/>
          <w:sz w:val="24"/>
          <w:szCs w:val="24"/>
        </w:rPr>
        <w:t xml:space="preserve">6.3. Налоговая политика</w:t>
      </w:r>
    </w:p>
    <w:p>
      <w:pPr>
        <w:spacing w:after="60"/>
        <w:ind w:firstLine="567"/>
        <w:jc w:val="both"/>
      </w:pPr>
      <w:r>
        <w:rPr>
          <w:rFonts w:ascii="Arial" w:cs="Arial" w:eastAsia="Arial" w:hAnsi="Arial"/>
          <w:sz w:val="24"/>
          <w:szCs w:val="24"/>
        </w:rPr>
        <w:t xml:space="preserve">Концептуальные основы налоговой политики Кыргызской Республики будут формироваться и проводиться в рамках Концепции фискальной политики в Кыргызской Республике на 2015-2020 годы (постановление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w:t>
      </w:r>
    </w:p>
    <w:p>
      <w:pPr>
        <w:spacing w:after="60"/>
        <w:ind w:firstLine="567"/>
        <w:jc w:val="both"/>
      </w:pPr>
      <w:r>
        <w:rPr>
          <w:rFonts w:ascii="Arial" w:cs="Arial" w:eastAsia="Arial" w:hAnsi="Arial"/>
          <w:sz w:val="24"/>
          <w:szCs w:val="24"/>
        </w:rPr>
        <w:t xml:space="preserve">Целью фискальной политики Кыргызской Республики на 2015-2020 годы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w:t>
      </w:r>
    </w:p>
    <w:p>
      <w:pPr>
        <w:spacing w:after="60"/>
        <w:ind w:firstLine="567"/>
        <w:jc w:val="both"/>
      </w:pPr>
      <w:r>
        <w:rPr>
          <w:rFonts w:ascii="Arial" w:cs="Arial" w:eastAsia="Arial" w:hAnsi="Arial"/>
          <w:sz w:val="24"/>
          <w:szCs w:val="24"/>
        </w:rPr>
        <w:t xml:space="preserve">Для достижения поставленной цели основными задачами фискальной политики будут:</w:t>
      </w:r>
    </w:p>
    <w:p>
      <w:pPr>
        <w:spacing w:after="60"/>
        <w:ind w:firstLine="567"/>
        <w:jc w:val="both"/>
      </w:pPr>
      <w:r>
        <w:rPr>
          <w:rFonts w:ascii="Arial" w:cs="Arial" w:eastAsia="Arial" w:hAnsi="Arial"/>
          <w:sz w:val="24"/>
          <w:szCs w:val="24"/>
        </w:rPr>
        <w:t xml:space="preserve">- повышение качества государственного управления и принятие решений в области фискальной политики;</w:t>
      </w:r>
    </w:p>
    <w:p>
      <w:pPr>
        <w:spacing w:after="60"/>
        <w:ind w:firstLine="567"/>
        <w:jc w:val="both"/>
      </w:pPr>
      <w:r>
        <w:rPr>
          <w:rFonts w:ascii="Arial" w:cs="Arial" w:eastAsia="Arial" w:hAnsi="Arial"/>
          <w:sz w:val="24"/>
          <w:szCs w:val="24"/>
        </w:rPr>
        <w:t xml:space="preserve">-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60"/>
        <w:ind w:firstLine="567"/>
        <w:jc w:val="both"/>
      </w:pPr>
      <w:r>
        <w:rPr>
          <w:rFonts w:ascii="Arial" w:cs="Arial" w:eastAsia="Arial" w:hAnsi="Arial"/>
          <w:sz w:val="24"/>
          <w:szCs w:val="24"/>
        </w:rPr>
        <w:t xml:space="preserve">- дальнейшее совершенствование законодательства по обязательным платежам и их администрированию, позволяющее налогоплательщику с наименьшими временными и трудовыми затратами исполнить свои обязательства, а должностным лицам уполномоченных государственных органов - осуществлять эффективное администрирование;</w:t>
      </w:r>
    </w:p>
    <w:p>
      <w:pPr>
        <w:spacing w:after="60"/>
        <w:ind w:firstLine="567"/>
        <w:jc w:val="both"/>
      </w:pPr>
      <w:r>
        <w:rPr>
          <w:rFonts w:ascii="Arial" w:cs="Arial" w:eastAsia="Arial" w:hAnsi="Arial"/>
          <w:sz w:val="24"/>
          <w:szCs w:val="24"/>
        </w:rPr>
        <w:t xml:space="preserve">- развитие существующих и освоение новых инструментов администрирования, обеспечивающих повышение эффективности и успешную интеграцию с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 постоянное обогащение практики взимания обязательных платежей новыми механизмами администрирования, внедряемыми по результатам изучения лучших мировых практик, с учетом особенностей и потребностей страны;</w:t>
      </w:r>
    </w:p>
    <w:p>
      <w:pPr>
        <w:spacing w:after="60"/>
        <w:ind w:firstLine="567"/>
        <w:jc w:val="both"/>
      </w:pPr>
      <w:r>
        <w:rPr>
          <w:rFonts w:ascii="Arial" w:cs="Arial" w:eastAsia="Arial" w:hAnsi="Arial"/>
          <w:sz w:val="24"/>
          <w:szCs w:val="24"/>
        </w:rPr>
        <w:t xml:space="preserve">- разработка и реализация первого этапа долгосрочной государственной программы формирования налоговой культуры и повышения налоговой грамотности, как налогоплательщиков, так и государственных служащих.</w:t>
      </w:r>
    </w:p>
    <w:p>
      <w:pPr>
        <w:spacing w:after="60" w:before="200"/>
        <w:ind w:firstLine="567"/>
        <w:jc w:val="left"/>
      </w:pPr>
      <w:r>
        <w:rPr>
          <w:rFonts w:ascii="Arial" w:cs="Arial" w:eastAsia="Arial" w:hAnsi="Arial"/>
          <w:b/>
          <w:bCs/>
          <w:sz w:val="24"/>
          <w:szCs w:val="24"/>
        </w:rPr>
        <w:t xml:space="preserve">6.4. Бюджетная политика</w:t>
      </w:r>
    </w:p>
    <w:p>
      <w:pPr>
        <w:spacing w:after="60"/>
        <w:ind w:firstLine="567"/>
        <w:jc w:val="both"/>
      </w:pPr>
      <w:r>
        <w:rPr>
          <w:rFonts w:ascii="Arial" w:cs="Arial" w:eastAsia="Arial" w:hAnsi="Arial"/>
          <w:sz w:val="24"/>
          <w:szCs w:val="24"/>
        </w:rPr>
        <w:t xml:space="preserve">Бюджетная политика будет реализовываться на основе бюджетных принципов Бюджетного кодекса Кыргызской Республики, который устанавливает основы правового регулирования отношений, возникающих в сфере управления государственными финансами и направлен на оптимизацию бюджетного процесса и совершенствование бюджетного законодательства республики.</w:t>
      </w:r>
    </w:p>
    <w:p>
      <w:pPr>
        <w:spacing w:after="60"/>
        <w:ind w:firstLine="567"/>
        <w:jc w:val="both"/>
      </w:pPr>
      <w:r>
        <w:rPr>
          <w:rFonts w:ascii="Arial" w:cs="Arial" w:eastAsia="Arial" w:hAnsi="Arial"/>
          <w:sz w:val="24"/>
          <w:szCs w:val="24"/>
        </w:rPr>
        <w:t xml:space="preserve">Стратегические цели бюджетной политики на среднесрочный период сформулированы в Стратегии развития управления государственными финансами на 2017-2025 годы (постановление Правительства Кыргызской Республики от 22 декабря 2016 года № 696). В рамках реализации Стратегии будет продолжена работа по обеспечению достижения бюджетной устойчивости, построению эффективной и прозрачной бюджетной системы, повышению эффективности использования государственных бюджетных средств и повышению качества предоставляемых услуг.</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1) улучшение планирования и исполнение государственного бюджета, включая:</w:t>
      </w:r>
    </w:p>
    <w:p>
      <w:pPr>
        <w:spacing w:after="60"/>
        <w:ind w:firstLine="567"/>
        <w:jc w:val="both"/>
      </w:pPr>
      <w:r>
        <w:rPr>
          <w:rFonts w:ascii="Arial" w:cs="Arial" w:eastAsia="Arial" w:hAnsi="Arial"/>
          <w:sz w:val="24"/>
          <w:szCs w:val="24"/>
        </w:rPr>
        <w:t xml:space="preserve">- повышение прозрачности, полноты и достоверности бюджета;</w:t>
      </w:r>
    </w:p>
    <w:p>
      <w:pPr>
        <w:spacing w:after="60"/>
        <w:ind w:firstLine="567"/>
        <w:jc w:val="both"/>
      </w:pPr>
      <w:r>
        <w:rPr>
          <w:rFonts w:ascii="Arial" w:cs="Arial" w:eastAsia="Arial" w:hAnsi="Arial"/>
          <w:sz w:val="24"/>
          <w:szCs w:val="24"/>
        </w:rPr>
        <w:t xml:space="preserve">- бюджет соответствующей государственной политики;</w:t>
      </w:r>
    </w:p>
    <w:p>
      <w:pPr>
        <w:spacing w:after="60"/>
        <w:ind w:firstLine="567"/>
        <w:jc w:val="both"/>
      </w:pPr>
      <w:r>
        <w:rPr>
          <w:rFonts w:ascii="Arial" w:cs="Arial" w:eastAsia="Arial" w:hAnsi="Arial"/>
          <w:sz w:val="24"/>
          <w:szCs w:val="24"/>
        </w:rPr>
        <w:t xml:space="preserve">- улучшение контроля доходов и расходов бюджета.</w:t>
      </w:r>
    </w:p>
    <w:p>
      <w:pPr>
        <w:spacing w:after="60"/>
        <w:ind w:firstLine="567"/>
        <w:jc w:val="both"/>
      </w:pPr>
      <w:r>
        <w:rPr>
          <w:rFonts w:ascii="Arial" w:cs="Arial" w:eastAsia="Arial" w:hAnsi="Arial"/>
          <w:sz w:val="24"/>
          <w:szCs w:val="24"/>
        </w:rPr>
        <w:t xml:space="preserve">2) своевременность учета и финансовой отчетности;</w:t>
      </w:r>
    </w:p>
    <w:p>
      <w:pPr>
        <w:spacing w:after="60"/>
        <w:ind w:firstLine="567"/>
        <w:jc w:val="both"/>
      </w:pPr>
      <w:r>
        <w:rPr>
          <w:rFonts w:ascii="Arial" w:cs="Arial" w:eastAsia="Arial" w:hAnsi="Arial"/>
          <w:sz w:val="24"/>
          <w:szCs w:val="24"/>
        </w:rPr>
        <w:t xml:space="preserve">3)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Исходя из задач, основными приоритетные направлениями реализации Стратегии будут:</w:t>
      </w:r>
    </w:p>
    <w:p>
      <w:pPr>
        <w:spacing w:after="60"/>
        <w:ind w:firstLine="567"/>
        <w:jc w:val="both"/>
      </w:pPr>
      <w:r>
        <w:rPr>
          <w:rFonts w:ascii="Arial" w:cs="Arial" w:eastAsia="Arial" w:hAnsi="Arial"/>
          <w:sz w:val="24"/>
          <w:szCs w:val="24"/>
        </w:rPr>
        <w:t xml:space="preserve">- достижение реалистичности бюджета;</w:t>
      </w:r>
    </w:p>
    <w:p>
      <w:pPr>
        <w:spacing w:after="60"/>
        <w:ind w:firstLine="567"/>
        <w:jc w:val="both"/>
      </w:pPr>
      <w:r>
        <w:rPr>
          <w:rFonts w:ascii="Arial" w:cs="Arial" w:eastAsia="Arial" w:hAnsi="Arial"/>
          <w:sz w:val="24"/>
          <w:szCs w:val="24"/>
        </w:rPr>
        <w:t xml:space="preserve">- улучшение бюджетирования на программной основе;</w:t>
      </w:r>
    </w:p>
    <w:p>
      <w:pPr>
        <w:spacing w:after="60"/>
        <w:ind w:firstLine="567"/>
        <w:jc w:val="both"/>
      </w:pPr>
      <w:r>
        <w:rPr>
          <w:rFonts w:ascii="Arial" w:cs="Arial" w:eastAsia="Arial" w:hAnsi="Arial"/>
          <w:sz w:val="24"/>
          <w:szCs w:val="24"/>
        </w:rPr>
        <w:t xml:space="preserve">- обеспечение полноты и прозрачности бюджета;</w:t>
      </w:r>
    </w:p>
    <w:p>
      <w:pPr>
        <w:spacing w:after="60"/>
        <w:ind w:firstLine="567"/>
        <w:jc w:val="both"/>
      </w:pPr>
      <w:r>
        <w:rPr>
          <w:rFonts w:ascii="Arial" w:cs="Arial" w:eastAsia="Arial" w:hAnsi="Arial"/>
          <w:sz w:val="24"/>
          <w:szCs w:val="24"/>
        </w:rPr>
        <w:t xml:space="preserve">- улучшение контроля доходов и расходов при исполнении бюджета;</w:t>
      </w:r>
    </w:p>
    <w:p>
      <w:pPr>
        <w:spacing w:after="60"/>
        <w:ind w:firstLine="567"/>
        <w:jc w:val="both"/>
      </w:pPr>
      <w:r>
        <w:rPr>
          <w:rFonts w:ascii="Arial" w:cs="Arial" w:eastAsia="Arial" w:hAnsi="Arial"/>
          <w:sz w:val="24"/>
          <w:szCs w:val="24"/>
        </w:rPr>
        <w:t xml:space="preserve">- 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 улучшение процедур внутреннего и внешнего аудита.</w:t>
      </w:r>
    </w:p>
    <w:p>
      <w:pPr>
        <w:spacing w:after="60"/>
        <w:ind w:firstLine="567"/>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будет ориентирована на решение следующих задач: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before="200"/>
        <w:ind w:firstLine="567"/>
        <w:jc w:val="left"/>
      </w:pPr>
      <w:r>
        <w:rPr>
          <w:rFonts w:ascii="Arial" w:cs="Arial" w:eastAsia="Arial" w:hAnsi="Arial"/>
          <w:b/>
          <w:bCs/>
          <w:sz w:val="24"/>
          <w:szCs w:val="24"/>
        </w:rPr>
        <w:t xml:space="preserve">6.5.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социально-экономических значимых объектов.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Следует отметить, что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w:t>
      </w:r>
    </w:p>
    <w:p>
      <w:pPr>
        <w:spacing w:after="60"/>
        <w:ind w:firstLine="567"/>
        <w:jc w:val="both"/>
      </w:pPr>
      <w:r>
        <w:rPr>
          <w:rFonts w:ascii="Arial" w:cs="Arial" w:eastAsia="Arial" w:hAnsi="Arial"/>
          <w:sz w:val="24"/>
          <w:szCs w:val="24"/>
        </w:rPr>
        <w:t xml:space="preserve">В этой связи в 2018 году государственные капитальные вложения будут направляться на финансирование объектов строительства с высокой строительной готовностью, а также будет минимизировано новое строительство в целях уменьшения объема незавершенного строительства и долгостроев.</w:t>
      </w:r>
    </w:p>
    <w:p>
      <w:pPr>
        <w:spacing w:after="60"/>
        <w:ind w:firstLine="567"/>
        <w:jc w:val="both"/>
      </w:pPr>
      <w:r>
        <w:rPr>
          <w:rFonts w:ascii="Arial" w:cs="Arial" w:eastAsia="Arial" w:hAnsi="Arial"/>
          <w:sz w:val="24"/>
          <w:szCs w:val="24"/>
        </w:rPr>
        <w:t xml:space="preserve">Вместе с тем, государственные капитальные вложения будут направлены на обеспечение устойчивого экономического развития регионов республики, совершенствование оптимального планирования и распределение капитальных вложений в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2018 году 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будет продолжено финансирование строительства и развития социальной и инженерной инфраструктуры города Бишкек, а также в приоритетном порядке планируется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госпрограммой строительства водохозяйственных сооружений будет продолжено финансирование на завершение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4"/>
          <w:szCs w:val="24"/>
        </w:rPr>
        <w:t xml:space="preserve">В 2018 году важнейшими приоритетами программы государственных инвестиций (далее - ПГИ) останутся развитие транспортной системы, энергетической инфраструктуры, а также сельского хозяйства, ирригации и социальной инфраструктуры.</w:t>
      </w:r>
    </w:p>
    <w:p>
      <w:pPr>
        <w:spacing w:after="60"/>
        <w:ind w:firstLine="567"/>
        <w:jc w:val="both"/>
      </w:pPr>
      <w:r>
        <w:rPr>
          <w:rFonts w:ascii="Arial" w:cs="Arial" w:eastAsia="Arial" w:hAnsi="Arial"/>
          <w:sz w:val="24"/>
          <w:szCs w:val="24"/>
        </w:rPr>
        <w:t xml:space="preserve">Общая сумма бюджетного финансирования государственных инвестиций из всех источников составит 42066,6 млн. сомов. При этом доля внешнего финансирования за счет займов и грантов составит 40157,1 млн. сомов (95,5% от общей суммы финансирования), на софинансирование проектов ПГИ будет использовано 1909,4 млн. сомов (4,5%).</w:t>
      </w:r>
    </w:p>
    <w:p>
      <w:pPr>
        <w:spacing w:after="60"/>
        <w:ind w:firstLine="567"/>
        <w:jc w:val="both"/>
      </w:pPr>
      <w:r>
        <w:rPr>
          <w:rFonts w:ascii="Arial" w:cs="Arial" w:eastAsia="Arial" w:hAnsi="Arial"/>
          <w:sz w:val="24"/>
          <w:szCs w:val="24"/>
        </w:rPr>
        <w:t xml:space="preserve">Доминирующую роль будет играть экономический блок, на который будет приходиться 90,9% всего финансирования (38701,9 млн. сомов), который включает такие направления как сельское хозяйство, транспорт, энергетика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2200 млн. сомов или 5,4%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всех жителей страны устойчивым доступом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1041,1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1) "Борьба с туберкулезом V" -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60"/>
        <w:ind w:firstLine="567"/>
        <w:jc w:val="both"/>
      </w:pPr>
      <w:r>
        <w:rPr>
          <w:rFonts w:ascii="Arial" w:cs="Arial" w:eastAsia="Arial" w:hAnsi="Arial"/>
          <w:sz w:val="24"/>
          <w:szCs w:val="24"/>
        </w:rPr>
        <w:t xml:space="preserve">2) средства проекта "Создание национальной системы экстренной медицины II" - будут направлены на строительство,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медицинской квалификации;</w:t>
      </w:r>
    </w:p>
    <w:p>
      <w:pPr>
        <w:spacing w:after="60"/>
        <w:ind w:firstLine="567"/>
        <w:jc w:val="both"/>
      </w:pPr>
      <w:r>
        <w:rPr>
          <w:rFonts w:ascii="Arial" w:cs="Arial" w:eastAsia="Arial" w:hAnsi="Arial"/>
          <w:sz w:val="24"/>
          <w:szCs w:val="24"/>
        </w:rPr>
        <w:t xml:space="preserve">3) проект "Профилактика ВИЧ-инфекций/СПИДа II" - направлен на улучшение качества и безопасности донорской крови и продуктов, изготовленных из ее компонентов. Проект предусматривает реабилитацию учреждений службы крови, приобретение медицинского и немедицинского оборудования, мобильных пунктов сдачи крови, расходных материалов, а также техническую поддержку Министерства здравоохранения Кыргызской Республики, с целью дальнейшего развития и внедрения запланированных мер по реализации системы службы крови, а также управление контролем качества процедур по переливанию крови;</w:t>
      </w:r>
    </w:p>
    <w:p>
      <w:pPr>
        <w:spacing w:after="60"/>
        <w:ind w:firstLine="567"/>
        <w:jc w:val="both"/>
      </w:pPr>
      <w:r>
        <w:rPr>
          <w:rFonts w:ascii="Arial" w:cs="Arial" w:eastAsia="Arial" w:hAnsi="Arial"/>
          <w:sz w:val="24"/>
          <w:szCs w:val="24"/>
        </w:rPr>
        <w:t xml:space="preserve">4) проект "Здравоохранение и социальная защита III" - предусматривает поддержку Министерству здравоохранения Кыргызской Республики в реализации программы "Манас таалими";</w:t>
      </w:r>
    </w:p>
    <w:p>
      <w:pPr>
        <w:spacing w:after="60"/>
        <w:ind w:firstLine="567"/>
        <w:jc w:val="both"/>
      </w:pPr>
      <w:r>
        <w:rPr>
          <w:rFonts w:ascii="Arial" w:cs="Arial" w:eastAsia="Arial" w:hAnsi="Arial"/>
          <w:sz w:val="24"/>
          <w:szCs w:val="24"/>
        </w:rPr>
        <w:t xml:space="preserve">5) проект "Охрана материнства и детства IV-IX" -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6) проект "Строительство нового корпуса для Городской детской клинической больницы скорой медицинской помощи гор. Бишкек" -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где общая сумма составляет 1444,0 млн. сомов. Проекты направлены на предоставление качественного дошкольного образования для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Воздействие Второго проекта Азиатского банка развития "Профессиональное образование и развитие навыков" - будет направлено на обеспечение инклюзивного роста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60"/>
        <w:ind w:firstLine="567"/>
        <w:jc w:val="both"/>
      </w:pPr>
      <w:r>
        <w:rPr>
          <w:rFonts w:ascii="Arial" w:cs="Arial" w:eastAsia="Arial" w:hAnsi="Arial"/>
          <w:sz w:val="24"/>
          <w:szCs w:val="24"/>
        </w:rPr>
        <w:t xml:space="preserve">Также планируется начать реализацию нового проекта - Третий проект Азиатского банка развития "Профессиональное образование и развитие навыков".</w:t>
      </w:r>
    </w:p>
    <w:p>
      <w:pPr>
        <w:spacing w:after="60"/>
        <w:ind w:firstLine="567"/>
        <w:jc w:val="both"/>
      </w:pPr>
      <w:r>
        <w:rPr>
          <w:rFonts w:ascii="Arial" w:cs="Arial" w:eastAsia="Arial" w:hAnsi="Arial"/>
          <w:sz w:val="24"/>
          <w:szCs w:val="24"/>
        </w:rPr>
        <w:t xml:space="preserve">Планируется начало реализации нового проекта "Строительство государственных школ", целью которого является строительство объектов образования, обеспечение учащихся и учителей новым комфортным зданием школы, отвечающим санитарно-гигиеническим нормам, позволяющим проводить учебный процесс и предоставить детям возможность получать образование в комфортных условиях.</w:t>
      </w:r>
    </w:p>
    <w:p>
      <w:pPr>
        <w:spacing w:after="60"/>
        <w:ind w:firstLine="567"/>
        <w:jc w:val="both"/>
      </w:pPr>
      <w:r>
        <w:rPr>
          <w:rFonts w:ascii="Arial" w:cs="Arial" w:eastAsia="Arial" w:hAnsi="Arial"/>
          <w:sz w:val="24"/>
          <w:szCs w:val="24"/>
        </w:rPr>
        <w:t xml:space="preserve">Сельское хозяйство будет поддержано финансированием следующих проектов: "Поддержка общественных семенных фондов" (Всемирный банк), "Развитие животноводства и рынка" (Международный фонд сельскохозяйственного развития), "Развитие животноводства и рынка - 2" (Международный фонд сельскохозяйственного развития), "Улучшение управления пастбищами и животноводством" (Международная ассоциация развития), "Финансирование поставок сельскохозяйственной техники в Кыргызскую Республику" (ЕАБР), "Финансирование проектов в сельскохозяйственном секторе и развитие сельских регионов" (Польша), "Управление национальными водными ресурсами - Фаза 1" (Международная ассоциация развития), а также планируется начало реализации новых проектов - "Повышение производительности в сельском хозяйстве и улучшение питания" (Глобальный фонд по сельскохозяйственной и продовольственной безопасности), "Цепочка добавленной стоимости агрофинансирования" (Европейский инвестиционный банк (далее - ЕИБ), Германский банк развития) и других, на инвестирование которых будет направлено 3443,5 млн. сомов.</w:t>
      </w:r>
    </w:p>
    <w:p>
      <w:pPr>
        <w:spacing w:after="60" w:before="200"/>
        <w:ind w:firstLine="567"/>
        <w:jc w:val="left"/>
      </w:pPr>
      <w:r>
        <w:rPr>
          <w:rFonts w:ascii="Arial" w:cs="Arial" w:eastAsia="Arial" w:hAnsi="Arial"/>
          <w:b/>
          <w:bCs/>
          <w:sz w:val="24"/>
          <w:szCs w:val="24"/>
        </w:rPr>
        <w:t xml:space="preserve">6.6. Инвестиционная политика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на 2018 год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w:t>
      </w:r>
    </w:p>
    <w:p>
      <w:pPr>
        <w:spacing w:after="60"/>
        <w:ind w:firstLine="567"/>
        <w:jc w:val="both"/>
      </w:pPr>
      <w:r>
        <w:rPr>
          <w:rFonts w:ascii="Arial" w:cs="Arial" w:eastAsia="Arial" w:hAnsi="Arial"/>
          <w:sz w:val="24"/>
          <w:szCs w:val="24"/>
        </w:rPr>
        <w:t xml:space="preserve">Основными задачами инвестиционной политики в 2018 году являются:</w:t>
      </w:r>
    </w:p>
    <w:p>
      <w:pPr>
        <w:spacing w:after="60"/>
        <w:ind w:firstLine="567"/>
        <w:jc w:val="both"/>
      </w:pPr>
      <w:r>
        <w:rPr>
          <w:rFonts w:ascii="Arial" w:cs="Arial" w:eastAsia="Arial" w:hAnsi="Arial"/>
          <w:sz w:val="24"/>
          <w:szCs w:val="24"/>
        </w:rPr>
        <w:t xml:space="preserve">- повышение инвестиционного потенциала и привлекательности регионов страны, с учетом имеющихся преимуществ и особенностей каждой области;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привлечение местных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на постоянной основе будет вестись работа по ознакомлению бизнес-сообществ об инвестиционных возможностях страны и улучшению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создание благоприятной и полноценной среды для государственного частного партнерства (далее - ГЧП) и заключение с частными партнерами соглашений о реализации проектов ГЧП, соответствующих лучшим международным принципам;</w:t>
      </w:r>
    </w:p>
    <w:p>
      <w:pPr>
        <w:spacing w:after="60"/>
        <w:ind w:firstLine="567"/>
        <w:jc w:val="both"/>
      </w:pPr>
      <w:r>
        <w:rPr>
          <w:rFonts w:ascii="Arial" w:cs="Arial" w:eastAsia="Arial" w:hAnsi="Arial"/>
          <w:sz w:val="24"/>
          <w:szCs w:val="24"/>
        </w:rPr>
        <w:t xml:space="preserve">- лояльное отношение к субъектам инвестиционной и предпринимательской деятельности со стороны органов власти.</w:t>
      </w:r>
    </w:p>
    <w:p>
      <w:pPr>
        <w:spacing w:after="60" w:before="200"/>
        <w:ind w:firstLine="567"/>
        <w:jc w:val="left"/>
      </w:pPr>
      <w:r>
        <w:rPr>
          <w:rFonts w:ascii="Arial" w:cs="Arial" w:eastAsia="Arial" w:hAnsi="Arial"/>
          <w:b/>
          <w:bCs/>
          <w:sz w:val="24"/>
          <w:szCs w:val="24"/>
        </w:rPr>
        <w:t xml:space="preserve">6.7. Инновационная политика</w:t>
      </w:r>
    </w:p>
    <w:p>
      <w:pPr>
        <w:spacing w:after="60"/>
        <w:ind w:firstLine="567"/>
        <w:jc w:val="both"/>
      </w:pPr>
      <w:r>
        <w:rPr>
          <w:rFonts w:ascii="Arial" w:cs="Arial" w:eastAsia="Arial" w:hAnsi="Arial"/>
          <w:sz w:val="24"/>
          <w:szCs w:val="24"/>
        </w:rPr>
        <w:t xml:space="preserve">В современной глобальной экономике инновации становятся новыми источниками экономического роста и конкурентоспособности страны. Базовыми условиями развития инновационной системы являются эффективная охрана и защита прав интеллектуальной собственности.</w:t>
      </w:r>
    </w:p>
    <w:p>
      <w:pPr>
        <w:spacing w:after="60"/>
        <w:ind w:firstLine="567"/>
        <w:jc w:val="both"/>
      </w:pPr>
      <w:r>
        <w:rPr>
          <w:rFonts w:ascii="Arial" w:cs="Arial" w:eastAsia="Arial" w:hAnsi="Arial"/>
          <w:sz w:val="24"/>
          <w:szCs w:val="24"/>
        </w:rPr>
        <w:t xml:space="preserve">Для этого необходимо выработать меры по дальнейшему совершенствованию нормативной правовой базы и процедур предоставления правовой охраны объектам интеллектуальной собственности, повышению уровня защиты прав на объекты интеллектуальной собственности, стимулированию и поощрению изобретателей, авторов, научных работников к созданию новых объектов интеллектуальной собственности, активизацию МСП по созданию и внедрению объектов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наращивание потенциала по созданию объектов интеллектуальной собственности, совершенствованию механизмов получения прав и защиты объектов интеллектуальной собственности,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Будет реализовываться комплекс мер по:</w:t>
      </w:r>
    </w:p>
    <w:p>
      <w:pPr>
        <w:spacing w:after="60"/>
        <w:ind w:firstLine="567"/>
        <w:jc w:val="both"/>
      </w:pPr>
      <w:r>
        <w:rPr>
          <w:rFonts w:ascii="Arial" w:cs="Arial" w:eastAsia="Arial" w:hAnsi="Arial"/>
          <w:sz w:val="24"/>
          <w:szCs w:val="24"/>
        </w:rPr>
        <w:t xml:space="preserve">- стимулированию авторов к созданию новых результатов интеллектуальной деятельности и повышению престижа изобретателей, авторов и научных работников;</w:t>
      </w:r>
    </w:p>
    <w:p>
      <w:pPr>
        <w:spacing w:after="60"/>
        <w:ind w:firstLine="567"/>
        <w:jc w:val="both"/>
      </w:pPr>
      <w:r>
        <w:rPr>
          <w:rFonts w:ascii="Arial" w:cs="Arial" w:eastAsia="Arial" w:hAnsi="Arial"/>
          <w:sz w:val="24"/>
          <w:szCs w:val="24"/>
        </w:rPr>
        <w:t xml:space="preserve">- вовлечению в процесс создания объектов интеллектуальной собственности государственных, научно-исследовательских и частных предприятий;</w:t>
      </w:r>
    </w:p>
    <w:p>
      <w:pPr>
        <w:spacing w:after="60"/>
        <w:ind w:firstLine="567"/>
        <w:jc w:val="both"/>
      </w:pPr>
      <w:r>
        <w:rPr>
          <w:rFonts w:ascii="Arial" w:cs="Arial" w:eastAsia="Arial" w:hAnsi="Arial"/>
          <w:sz w:val="24"/>
          <w:szCs w:val="24"/>
        </w:rPr>
        <w:t xml:space="preserve">- содействию формированию государственных заказов на создание объектов интеллектуальной собственности;</w:t>
      </w:r>
    </w:p>
    <w:p>
      <w:pPr>
        <w:spacing w:after="60"/>
        <w:ind w:firstLine="567"/>
        <w:jc w:val="both"/>
      </w:pPr>
      <w:r>
        <w:rPr>
          <w:rFonts w:ascii="Arial" w:cs="Arial" w:eastAsia="Arial" w:hAnsi="Arial"/>
          <w:sz w:val="24"/>
          <w:szCs w:val="24"/>
        </w:rPr>
        <w:t xml:space="preserve">- активизации изобретательской и творческой деятельности в регионах;</w:t>
      </w:r>
    </w:p>
    <w:p>
      <w:pPr>
        <w:spacing w:after="60"/>
        <w:ind w:firstLine="567"/>
        <w:jc w:val="both"/>
      </w:pPr>
      <w:r>
        <w:rPr>
          <w:rFonts w:ascii="Arial" w:cs="Arial" w:eastAsia="Arial" w:hAnsi="Arial"/>
          <w:sz w:val="24"/>
          <w:szCs w:val="24"/>
        </w:rPr>
        <w:t xml:space="preserve">- совершенствованию процедур предоставления прав на результаты интеллектуальной деятельности;</w:t>
      </w:r>
    </w:p>
    <w:p>
      <w:pPr>
        <w:spacing w:after="60"/>
        <w:ind w:firstLine="567"/>
        <w:jc w:val="both"/>
      </w:pPr>
      <w:r>
        <w:rPr>
          <w:rFonts w:ascii="Arial" w:cs="Arial" w:eastAsia="Arial" w:hAnsi="Arial"/>
          <w:sz w:val="24"/>
          <w:szCs w:val="24"/>
        </w:rPr>
        <w:t xml:space="preserve">- вовлечению гражданского общества в процесс осуществления прав интеллектуальной собственности, формирование института медиации для досудебного регулирования споров;</w:t>
      </w:r>
    </w:p>
    <w:p>
      <w:pPr>
        <w:spacing w:after="60"/>
        <w:ind w:firstLine="567"/>
        <w:jc w:val="both"/>
      </w:pPr>
      <w:r>
        <w:rPr>
          <w:rFonts w:ascii="Arial" w:cs="Arial" w:eastAsia="Arial" w:hAnsi="Arial"/>
          <w:sz w:val="24"/>
          <w:szCs w:val="24"/>
        </w:rPr>
        <w:t xml:space="preserve">- подготовке специалистов по продвижению и управлению интеллектуальной собственности;</w:t>
      </w:r>
    </w:p>
    <w:p>
      <w:pPr>
        <w:spacing w:after="60"/>
        <w:ind w:firstLine="567"/>
        <w:jc w:val="both"/>
      </w:pPr>
      <w:r>
        <w:rPr>
          <w:rFonts w:ascii="Arial" w:cs="Arial" w:eastAsia="Arial" w:hAnsi="Arial"/>
          <w:sz w:val="24"/>
          <w:szCs w:val="24"/>
        </w:rPr>
        <w:t xml:space="preserve">-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4"/>
          <w:szCs w:val="24"/>
        </w:rPr>
        <w:t xml:space="preserve">Принятые меры будут способствовать:</w:t>
      </w:r>
    </w:p>
    <w:p>
      <w:pPr>
        <w:spacing w:after="60"/>
        <w:ind w:firstLine="567"/>
        <w:jc w:val="both"/>
      </w:pPr>
      <w:r>
        <w:rPr>
          <w:rFonts w:ascii="Arial" w:cs="Arial" w:eastAsia="Arial" w:hAnsi="Arial"/>
          <w:sz w:val="24"/>
          <w:szCs w:val="24"/>
        </w:rPr>
        <w:t xml:space="preserve">- повышению престижа изобретателей, авторов, научных работников. Стимулированию и поощрению к созданию новых объектов интеллектуальной собственности;</w:t>
      </w:r>
    </w:p>
    <w:p>
      <w:pPr>
        <w:spacing w:after="60"/>
        <w:ind w:firstLine="567"/>
        <w:jc w:val="both"/>
      </w:pPr>
      <w:r>
        <w:rPr>
          <w:rFonts w:ascii="Arial" w:cs="Arial" w:eastAsia="Arial" w:hAnsi="Arial"/>
          <w:sz w:val="24"/>
          <w:szCs w:val="24"/>
        </w:rPr>
        <w:t xml:space="preserve">- активизации изобретательской и инновационной деятельности государственных, научно-исследовательских и частных предприятий. Росту количества новых технологий и получению коммерческой выгоды от их внедрения;</w:t>
      </w:r>
    </w:p>
    <w:p>
      <w:pPr>
        <w:spacing w:after="60"/>
        <w:ind w:firstLine="567"/>
        <w:jc w:val="both"/>
      </w:pPr>
      <w:r>
        <w:rPr>
          <w:rFonts w:ascii="Arial" w:cs="Arial" w:eastAsia="Arial" w:hAnsi="Arial"/>
          <w:sz w:val="24"/>
          <w:szCs w:val="24"/>
        </w:rPr>
        <w:t xml:space="preserve">- обеспечению доступа к базам данных патентной и не патентной информации. К переходу библиотечного фонда в электронный формат;</w:t>
      </w:r>
    </w:p>
    <w:p>
      <w:pPr>
        <w:spacing w:after="60"/>
        <w:ind w:firstLine="567"/>
        <w:jc w:val="both"/>
      </w:pPr>
      <w:r>
        <w:rPr>
          <w:rFonts w:ascii="Arial" w:cs="Arial" w:eastAsia="Arial" w:hAnsi="Arial"/>
          <w:sz w:val="24"/>
          <w:szCs w:val="24"/>
        </w:rPr>
        <w:t xml:space="preserve">- повышению качества создаваемых объектов интеллектуальной собственности;</w:t>
      </w:r>
    </w:p>
    <w:p>
      <w:pPr>
        <w:spacing w:after="60"/>
        <w:ind w:firstLine="567"/>
        <w:jc w:val="both"/>
      </w:pPr>
      <w:r>
        <w:rPr>
          <w:rFonts w:ascii="Arial" w:cs="Arial" w:eastAsia="Arial" w:hAnsi="Arial"/>
          <w:sz w:val="24"/>
          <w:szCs w:val="24"/>
        </w:rPr>
        <w:t xml:space="preserve">- повышению интереса детей и молодежи к научно-техническому творчеству;</w:t>
      </w:r>
    </w:p>
    <w:p>
      <w:pPr>
        <w:spacing w:after="60"/>
        <w:ind w:firstLine="567"/>
        <w:jc w:val="both"/>
      </w:pPr>
      <w:r>
        <w:rPr>
          <w:rFonts w:ascii="Arial" w:cs="Arial" w:eastAsia="Arial" w:hAnsi="Arial"/>
          <w:sz w:val="24"/>
          <w:szCs w:val="24"/>
        </w:rPr>
        <w:t xml:space="preserve">- упрощению процедуры и улучшению качества предоставления правовой охраны объектам интеллектуальной собственности. Расширению возможности получения государственных услуг в электронном формате;</w:t>
      </w:r>
    </w:p>
    <w:p>
      <w:pPr>
        <w:spacing w:after="60"/>
        <w:ind w:firstLine="567"/>
        <w:jc w:val="both"/>
      </w:pPr>
      <w:r>
        <w:rPr>
          <w:rFonts w:ascii="Arial" w:cs="Arial" w:eastAsia="Arial" w:hAnsi="Arial"/>
          <w:sz w:val="24"/>
          <w:szCs w:val="24"/>
        </w:rPr>
        <w:t xml:space="preserve">- активизации малого среднего предпринимательства по созданию и внедрению объектов интеллектуальной собственности, увеличению числа инновационно-активных предприятий.</w:t>
      </w:r>
    </w:p>
    <w:p>
      <w:pPr>
        <w:spacing w:after="60" w:before="200"/>
        <w:ind w:firstLine="567"/>
        <w:jc w:val="left"/>
      </w:pPr>
      <w:r>
        <w:rPr>
          <w:rFonts w:ascii="Arial" w:cs="Arial" w:eastAsia="Arial" w:hAnsi="Arial"/>
          <w:b/>
          <w:bCs/>
          <w:sz w:val="24"/>
          <w:szCs w:val="24"/>
        </w:rPr>
        <w:t xml:space="preserve">6.8.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развитие экономики и решение социальных вопросов, которые необходимо рассматривать с учетом экологического фактора, поскольку природа и ее компоненты являются одними из основных факторов устойчивого социально-экономического развития.</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дальнейшее совершенствование национального законодательства с учетом требований глобальных экологических конвенций и международных договоров, а также направлений "зеленого развития";</w:t>
      </w:r>
    </w:p>
    <w:p>
      <w:pPr>
        <w:spacing w:after="60"/>
        <w:ind w:firstLine="567"/>
        <w:jc w:val="both"/>
      </w:pPr>
      <w:r>
        <w:rPr>
          <w:rFonts w:ascii="Arial" w:cs="Arial" w:eastAsia="Arial" w:hAnsi="Arial"/>
          <w:sz w:val="24"/>
          <w:szCs w:val="24"/>
        </w:rPr>
        <w:t xml:space="preserve">- разработка проекта Концепции низкоуглеродного развития и усиление работы по реализации приоритетных направлений адаптации к изменению климата в Кыргызской Республике до 2017 года (постановление Правительства Кыргызской Республики от 2 октября 2013 года № 549);</w:t>
      </w:r>
    </w:p>
    <w:p>
      <w:pPr>
        <w:spacing w:after="60"/>
        <w:ind w:firstLine="567"/>
        <w:jc w:val="both"/>
      </w:pPr>
      <w:r>
        <w:rPr>
          <w:rFonts w:ascii="Arial" w:cs="Arial" w:eastAsia="Arial" w:hAnsi="Arial"/>
          <w:sz w:val="24"/>
          <w:szCs w:val="24"/>
        </w:rPr>
        <w:t xml:space="preserve">- продолжение осуществления мониторинга состояния окружающей среды;</w:t>
      </w:r>
    </w:p>
    <w:p>
      <w:pPr>
        <w:spacing w:after="60"/>
        <w:ind w:firstLine="567"/>
        <w:jc w:val="both"/>
      </w:pPr>
      <w:r>
        <w:rPr>
          <w:rFonts w:ascii="Arial" w:cs="Arial" w:eastAsia="Arial" w:hAnsi="Arial"/>
          <w:sz w:val="24"/>
          <w:szCs w:val="24"/>
        </w:rPr>
        <w:t xml:space="preserve">- осуществление надзора за рациональным использованием природных ресурсов и соблюдением экологических норм и требований;</w:t>
      </w:r>
    </w:p>
    <w:p>
      <w:pPr>
        <w:spacing w:after="60"/>
        <w:ind w:firstLine="567"/>
        <w:jc w:val="both"/>
      </w:pPr>
      <w:r>
        <w:rPr>
          <w:rFonts w:ascii="Arial" w:cs="Arial" w:eastAsia="Arial" w:hAnsi="Arial"/>
          <w:sz w:val="24"/>
          <w:szCs w:val="24"/>
        </w:rPr>
        <w:t xml:space="preserve">- сохранение и воспроизводство биоразнообразия на особо охраняемых природных территориях;</w:t>
      </w:r>
    </w:p>
    <w:p>
      <w:pPr>
        <w:spacing w:after="60"/>
        <w:ind w:firstLine="567"/>
        <w:jc w:val="both"/>
      </w:pPr>
      <w:r>
        <w:rPr>
          <w:rFonts w:ascii="Arial" w:cs="Arial" w:eastAsia="Arial" w:hAnsi="Arial"/>
          <w:sz w:val="24"/>
          <w:szCs w:val="24"/>
        </w:rPr>
        <w:t xml:space="preserve">- дальнейшая реализация Национальной стратегии сохранения снежного барса в Кыргызской Республике на 2013-2023 годы (постановление Правительства Кыргызской Республики от 19 октября 2012 года № 732);</w:t>
      </w:r>
    </w:p>
    <w:p>
      <w:pPr>
        <w:spacing w:after="60"/>
        <w:ind w:firstLine="567"/>
        <w:jc w:val="both"/>
      </w:pPr>
      <w:r>
        <w:rPr>
          <w:rFonts w:ascii="Arial" w:cs="Arial" w:eastAsia="Arial" w:hAnsi="Arial"/>
          <w:sz w:val="24"/>
          <w:szCs w:val="24"/>
        </w:rPr>
        <w:t xml:space="preserve">- усовершенствование методов борьбы с браконьерством;</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В целях совершенствования национальной экологической политики и нормативной правовой базы для обеспечения экологической безопасности, достижения устойчивого развития страны, с учетом вопросов по изменению климата, будет осуществляться реализация государственных стратегических программ и планов, таких, как приоритеты сохранения биологического разнообразия Кыргызской Республики на период до 2024 года (постановление Правительства Кыргызской Республики от 17 марта 2014 года № 131), Национальная стратегия сохранения снежного барса в Кыргызской Республике на 2013-2023 годы (постановление Правительства Кыргызской Республики от 19 октября 2012 года № 732), Программа по развитию орехоплодных культур в Кыргызской Республике до 2025 года (постановление Правительства Кыргызской Республики от 2 июня 2014 года № 293), Программа надлежащего управления химическими веществами в Кыргызской Республике (постановление Правительства Кыргызской Республики от 2 марта 2015 года № 91) и другие.</w:t>
      </w:r>
    </w:p>
    <w:p>
      <w:pPr>
        <w:spacing w:after="60" w:before="200"/>
        <w:ind w:firstLine="567"/>
        <w:jc w:val="left"/>
      </w:pPr>
      <w:r>
        <w:rPr>
          <w:rFonts w:ascii="Arial" w:cs="Arial" w:eastAsia="Arial" w:hAnsi="Arial"/>
          <w:b/>
          <w:bCs/>
          <w:sz w:val="24"/>
          <w:szCs w:val="24"/>
        </w:rPr>
        <w:t xml:space="preserve">6.9. Развитие реального сектора</w:t>
      </w:r>
    </w:p>
    <w:p>
      <w:pPr>
        <w:spacing w:after="60" w:before="200"/>
        <w:ind w:firstLine="567"/>
        <w:jc w:val="left"/>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Главной целью развития сельского хозяйства является создание условий для увеличения производства, повышения качества продукции и обеспечения продовольственной безопасности страны. Развитие сельского хозяйства будет сосредоточено на следующих основных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2018 году прогнозируется в объеме 221,5 млрд. сомов, а темп реального прироста - на уровне 3,2%, с удельным весом в общем объеме ВВП 12,7%, вклад в рост ВВП - 0,41 процентного пункта за счет прироста в растениеводстве на 3,4% и животноводстве - на 2,6%.</w:t>
      </w:r>
    </w:p>
    <w:p>
      <w:pPr>
        <w:spacing w:after="240" w:before="240"/>
        <w:ind w:firstLine="567"/>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Динамика темпов роста в сельском хозяйстве на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81"/>
        <w:gridCol w:w="924"/>
        <w:gridCol w:w="924"/>
        <w:gridCol w:w="924"/>
        <w:gridCol w:w="924"/>
      </w:tblGrid>
      <w:tr>
        <w:tc>
          <w:tcPr>
            <w:tcW w:type="dxa" w:w="64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8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c>
          <w:tcPr>
            <w:tcW w:type="dxa" w:w="18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207357,6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221482,8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103285,0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109474,3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6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99088,8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106543,2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49,4% и 48,1%.</w:t>
      </w:r>
    </w:p>
    <w:p>
      <w:pPr>
        <w:spacing w:after="60"/>
        <w:ind w:firstLine="567"/>
        <w:jc w:val="both"/>
      </w:pPr>
      <w:r>
        <w:rPr>
          <w:rFonts w:ascii="Arial" w:cs="Arial" w:eastAsia="Arial" w:hAnsi="Arial"/>
          <w:sz w:val="24"/>
          <w:szCs w:val="24"/>
        </w:rPr>
        <w:t xml:space="preserve">В 2018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активного использования систем капельного орошения, увеличения количества тепличных хозяйств по всей республике,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планируется увеличение посевной площади некоторых видов агропромышленной продукции местного производства: овощей, бахчевых, сахарной свеклы, хлопка и табака.</w:t>
      </w:r>
    </w:p>
    <w:p>
      <w:pPr>
        <w:spacing w:after="60"/>
        <w:ind w:firstLine="567"/>
        <w:jc w:val="both"/>
      </w:pPr>
      <w:r>
        <w:rPr>
          <w:rFonts w:ascii="Arial" w:cs="Arial" w:eastAsia="Arial" w:hAnsi="Arial"/>
          <w:sz w:val="24"/>
          <w:szCs w:val="24"/>
        </w:rPr>
        <w:t xml:space="preserve">Принимая во внимание предложение агропромышленной продукции государств-членов ЕАЭС, продолжится сокращение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Продолжится работа над увеличением поголовья скота и других видов сельскохозяйственных животных, учитывая спрос Российской Федерации и Республики Казахстан на мясомолочную продукцию. В связи с этим, для обеспечения прочной кормовой базы в виде концентрированных, грубых и сочных кормов, планируется расширить посевные площади многолетних трав.</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w:t>
      </w:r>
    </w:p>
    <w:p>
      <w:pPr>
        <w:spacing w:after="60"/>
        <w:ind w:firstLine="567"/>
        <w:jc w:val="both"/>
      </w:pPr>
      <w:r>
        <w:rPr>
          <w:rFonts w:ascii="Arial" w:cs="Arial" w:eastAsia="Arial" w:hAnsi="Arial"/>
          <w:sz w:val="24"/>
          <w:szCs w:val="24"/>
        </w:rPr>
        <w:t xml:space="preserve">Рост производства мяса в живом весе прогнозируется на уровне 2,2% и увеличится по сравнению с предыдущим годом на 8,6 тыс. тонн, молочная продукция - на 2,4%, с увеличением на 37,6 тыс. тонн, яйца - на 2,5%, с увеличением на 12,0 млн. штук и шерсть - на 2,0%, с увеличением на 0,2 тыс. тонн.</w:t>
      </w:r>
    </w:p>
    <w:p>
      <w:pPr>
        <w:spacing w:after="60"/>
        <w:ind w:firstLine="567"/>
        <w:jc w:val="both"/>
      </w:pPr>
      <w:r>
        <w:rPr>
          <w:rFonts w:ascii="Arial" w:cs="Arial" w:eastAsia="Arial" w:hAnsi="Arial"/>
          <w:sz w:val="24"/>
          <w:szCs w:val="24"/>
        </w:rPr>
        <w:t xml:space="preserve">В 2018 году в растениеводстве рост в основном будет обеспечен за счет увеличения производства: зерновых культур - на 2,1% за счет увеличения урожайности на 2,0 ц/га; сахарной свеклы - на 4,1% за счет повышения урожайности до 675,0 ц/га; хлопка - на 1,6% за счет повышения урожайности до 32,0 ц/га; масличных культур - на 0,9% за счет повышения урожайности до 11,5 ц/га, картофеля на - 1,1% за счет повышения урожайности до 169,0 ц/га, овощей - на 1,6% за счет повышения урожайности до 216,0 ц/га, плодов и ягод - на 4,6% за счет повышения урожайности до 50,0 ц/га.</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2018 году будут влиять следующие факторы:</w:t>
      </w:r>
    </w:p>
    <w:p>
      <w:pPr>
        <w:spacing w:after="60"/>
        <w:ind w:firstLine="567"/>
        <w:jc w:val="both"/>
      </w:pPr>
      <w:r>
        <w:rPr>
          <w:rFonts w:ascii="Arial" w:cs="Arial" w:eastAsia="Arial" w:hAnsi="Arial"/>
          <w:sz w:val="24"/>
          <w:szCs w:val="24"/>
        </w:rPr>
        <w:t xml:space="preserve">- влияние природно-климатического фактора;</w:t>
      </w:r>
    </w:p>
    <w:p>
      <w:pPr>
        <w:spacing w:after="60"/>
        <w:ind w:firstLine="567"/>
        <w:jc w:val="both"/>
      </w:pPr>
      <w:r>
        <w:rPr>
          <w:rFonts w:ascii="Arial" w:cs="Arial" w:eastAsia="Arial" w:hAnsi="Arial"/>
          <w:sz w:val="24"/>
          <w:szCs w:val="24"/>
        </w:rPr>
        <w:t xml:space="preserve">- эффект от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снятие фитосанитарного контроля на кыргызско-казахстанском участке границы;</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горюче-смазочных материалов (далее - ГСМ), обеспечении фермеров необходимой сельхозтехникой на льготных кредитных условиях путем закупки сельхозтехники по лизингу,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продолжение развития тепличных хозяйств;</w:t>
      </w:r>
    </w:p>
    <w:p>
      <w:pPr>
        <w:spacing w:after="60"/>
        <w:ind w:firstLine="567"/>
        <w:jc w:val="both"/>
      </w:pPr>
      <w:r>
        <w:rPr>
          <w:rFonts w:ascii="Arial" w:cs="Arial" w:eastAsia="Arial" w:hAnsi="Arial"/>
          <w:sz w:val="24"/>
          <w:szCs w:val="24"/>
        </w:rPr>
        <w:t xml:space="preserve">- продолжение программы льготного кредитования фермеров в рамках программы "Финансирование сельского хозяйства";</w:t>
      </w:r>
    </w:p>
    <w:p>
      <w:pPr>
        <w:spacing w:after="60"/>
        <w:ind w:firstLine="567"/>
        <w:jc w:val="both"/>
      </w:pPr>
      <w:r>
        <w:rPr>
          <w:rFonts w:ascii="Arial" w:cs="Arial" w:eastAsia="Arial" w:hAnsi="Arial"/>
          <w:sz w:val="24"/>
          <w:szCs w:val="24"/>
        </w:rPr>
        <w:t xml:space="preserve">- проведение очередной сельскохозяйственной переписи в Кыргызской Республике в 2018 году (с 1 по 30 ноября 2018 года); (постановление Правительства Кыргызской Республики от 10 января 2017 года № 11), которая позволит выявить дополнительные резервы аграрной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(10,8%), Джалал-Абадская (19,4%), Ошская (19,0%) и Чуйская (26,7%)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недостаточный объем заготавливаемых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льготных кредитных государственных средств, нерешенные проблемы ветеринарного контроля на кыргызско-казахстанском участке границы.</w:t>
      </w:r>
    </w:p>
    <w:p>
      <w:pPr>
        <w:spacing w:after="60" w:before="200"/>
        <w:ind w:firstLine="567"/>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ЕАЭС.</w:t>
      </w:r>
    </w:p>
    <w:p>
      <w:pPr>
        <w:spacing w:after="60"/>
        <w:ind w:firstLine="567"/>
        <w:jc w:val="both"/>
      </w:pPr>
      <w:r>
        <w:rPr>
          <w:rFonts w:ascii="Arial" w:cs="Arial" w:eastAsia="Arial" w:hAnsi="Arial"/>
          <w:sz w:val="24"/>
          <w:szCs w:val="24"/>
        </w:rPr>
        <w:t xml:space="preserve">Принятая Концепция региональной политики Кыргызской Республики на период 2018-2022 годы станет основой для разработки программы промышленного развития, развития топливно-энергетического сектора страны, отраслевых и территориальных программ, где будут представлены анализ потенциала регионов страны, возможностей по формированию кластеров, детальный анализ существующих и перспективных мощностей по переработке сельхозпредприятий, ориентированных на экспорт местной продукции как в государства-члены ЕАЭС, так и в другие страны, а также анализ существующих и перспективных производственных предприятий, принимая во внимание развитие энергетического комплекса.</w:t>
      </w:r>
    </w:p>
    <w:p>
      <w:pPr>
        <w:spacing w:after="60"/>
        <w:ind w:firstLine="567"/>
        <w:jc w:val="both"/>
      </w:pPr>
      <w:r>
        <w:rPr>
          <w:rFonts w:ascii="Arial" w:cs="Arial" w:eastAsia="Arial" w:hAnsi="Arial"/>
          <w:sz w:val="24"/>
          <w:szCs w:val="24"/>
        </w:rPr>
        <w:t xml:space="preserve">С целью формирования высокотехнологичной, конкурентоспособной, устойчивой и сбалансированной (в части спроса и предложения) промышленности, обеспечивающей внутренний и внешний рынки качественной, доступной, энергоэффективной продукцией, снижения зависимости отрасли от зарубежных технологий, оборудования, сырьевых компонентов и обеспечения занятости населения, для определения долгосрочного вектора развития промышленности Кыргызской Республики в 2017 году разрабатывается единая Программа развития промышленности Кыргызской Республики на период 2017-2050 годы, где основными направлениями развития отрасли станут обновление технологической базы отраслей промышленности; стимулирование научных исследований и разработок, направленных на создание новых технологий и материалов; обеспечение для компаний равных условий конкуренции на внутреннем и внешних рынках, а также развитие конкуренции на внутренних рынках, в том числе через поэтапное сокращение доли государства в капитале компаний; стимулирование экспорта продукции с высокой добавленной стоимостью; создание инновационной инфраструктуры для развития новых отраслей; вопросы размещения производительных сил в промышленных зонах городов; снятие регуляторных барьеров для вывода на рынок инновационной продукции и др.</w:t>
      </w:r>
    </w:p>
    <w:p>
      <w:pPr>
        <w:spacing w:after="60"/>
        <w:ind w:firstLine="567"/>
        <w:jc w:val="both"/>
      </w:pPr>
      <w:r>
        <w:rPr>
          <w:rFonts w:ascii="Arial" w:cs="Arial" w:eastAsia="Arial" w:hAnsi="Arial"/>
          <w:sz w:val="24"/>
          <w:szCs w:val="24"/>
        </w:rPr>
        <w:t xml:space="preserve">Это позволит придать дополнительный импульс модернизации и диверсификации национальной экономики, снизить ее зависимость от внешней конъюнктуры. Программа также будет иметь значительный мультипликативный эффект для смежных отраслей экономики. В частности, можно ожидать возникновения дополнительных стимулов для развития сферы научно-исследовательских и опытно-конструкторских работ, для осуществления инфраструктурных проектов в сфере транспорта и связи, для развития системы образования и т.д.</w:t>
      </w:r>
    </w:p>
    <w:p>
      <w:pPr>
        <w:spacing w:after="60"/>
        <w:ind w:firstLine="567"/>
        <w:jc w:val="both"/>
      </w:pPr>
      <w:r>
        <w:rPr>
          <w:rFonts w:ascii="Arial" w:cs="Arial" w:eastAsia="Arial" w:hAnsi="Arial"/>
          <w:sz w:val="24"/>
          <w:szCs w:val="24"/>
        </w:rPr>
        <w:t xml:space="preserve">Будет продолжена реализация основных стратегических направлений промышленной политики - содействие инвестициям, экспорту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 Поддержка приоритетных отраслей экономики, обладающих большим экспортным потенциалом, является важным фактором в развитии промышленности.</w:t>
      </w:r>
    </w:p>
    <w:p>
      <w:pPr>
        <w:spacing w:after="60"/>
        <w:ind w:firstLine="567"/>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w:t>
      </w:r>
    </w:p>
    <w:p>
      <w:pPr>
        <w:spacing w:after="60"/>
        <w:ind w:firstLine="567"/>
        <w:jc w:val="both"/>
      </w:pPr>
      <w:r>
        <w:rPr>
          <w:rFonts w:ascii="Arial" w:cs="Arial" w:eastAsia="Arial" w:hAnsi="Arial"/>
          <w:sz w:val="24"/>
          <w:szCs w:val="24"/>
        </w:rPr>
        <w:t xml:space="preserve">С целью устойчивого развития энергетики, обеспечения энергетической безопасности страны и регионов, энергоэффективности реального сектора экономики, доступности энергоносителей для каждого потребителя и снижения техногенного воздействия на окружающую среду будут реализованы основные направления, заложенные в Концепции развития топливно-энергетического комплекса Кыргызской Республики до 2030 года.</w:t>
      </w:r>
    </w:p>
    <w:p>
      <w:pPr>
        <w:spacing w:after="60"/>
        <w:ind w:firstLine="567"/>
        <w:jc w:val="both"/>
      </w:pPr>
      <w:r>
        <w:rPr>
          <w:rFonts w:ascii="Arial" w:cs="Arial" w:eastAsia="Arial" w:hAnsi="Arial"/>
          <w:sz w:val="24"/>
          <w:szCs w:val="24"/>
        </w:rPr>
        <w:t xml:space="preserve">Политика развития энергетического сектора будет сфокусирована на следующих приоритетных направлениях для осуществления реформы:</w:t>
      </w:r>
    </w:p>
    <w:p>
      <w:pPr>
        <w:spacing w:after="60"/>
        <w:ind w:firstLine="567"/>
        <w:jc w:val="both"/>
      </w:pPr>
      <w:r>
        <w:rPr>
          <w:rFonts w:ascii="Arial" w:cs="Arial" w:eastAsia="Arial" w:hAnsi="Arial"/>
          <w:sz w:val="24"/>
          <w:szCs w:val="24"/>
        </w:rPr>
        <w:t xml:space="preserve">- устойчивая энергетика: обеспечение энергетической безопасности и увеличение энергетических мощностей;</w:t>
      </w:r>
    </w:p>
    <w:p>
      <w:pPr>
        <w:spacing w:after="60"/>
        <w:ind w:firstLine="567"/>
        <w:jc w:val="both"/>
      </w:pPr>
      <w:r>
        <w:rPr>
          <w:rFonts w:ascii="Arial" w:cs="Arial" w:eastAsia="Arial" w:hAnsi="Arial"/>
          <w:sz w:val="24"/>
          <w:szCs w:val="24"/>
        </w:rPr>
        <w:t xml:space="preserve">- институциональные реформы: усиление стратегического управления и менеджмента, нормативной правовой базы и инновационного развития энергетики;</w:t>
      </w:r>
    </w:p>
    <w:p>
      <w:pPr>
        <w:spacing w:after="60"/>
        <w:ind w:firstLine="567"/>
        <w:jc w:val="both"/>
      </w:pPr>
      <w:r>
        <w:rPr>
          <w:rFonts w:ascii="Arial" w:cs="Arial" w:eastAsia="Arial" w:hAnsi="Arial"/>
          <w:sz w:val="24"/>
          <w:szCs w:val="24"/>
        </w:rPr>
        <w:t xml:space="preserve">- финансовое оздоровление: тарифная политика, обеспечение финансовой устойчивости и эффективности энергетических компаний и предприятий топливно-энергетического комплекса (ТЭК);</w:t>
      </w:r>
    </w:p>
    <w:p>
      <w:pPr>
        <w:spacing w:after="60"/>
        <w:ind w:firstLine="567"/>
        <w:jc w:val="both"/>
      </w:pPr>
      <w:r>
        <w:rPr>
          <w:rFonts w:ascii="Arial" w:cs="Arial" w:eastAsia="Arial" w:hAnsi="Arial"/>
          <w:sz w:val="24"/>
          <w:szCs w:val="24"/>
        </w:rPr>
        <w:t xml:space="preserve">- управление спросом на энергоносители и достижение энергоэффективности экономики, формирование рациональной структуры топливно-энергетического баланса (ТЭБ) страны и регионов;</w:t>
      </w:r>
    </w:p>
    <w:p>
      <w:pPr>
        <w:spacing w:after="60"/>
        <w:ind w:firstLine="567"/>
        <w:jc w:val="both"/>
      </w:pPr>
      <w:r>
        <w:rPr>
          <w:rFonts w:ascii="Arial" w:cs="Arial" w:eastAsia="Arial" w:hAnsi="Arial"/>
          <w:sz w:val="24"/>
          <w:szCs w:val="24"/>
        </w:rPr>
        <w:t xml:space="preserve">- энергосбережение и минимизация техногенного воздействия энергетики на окружающую среду, здоровье населения и продвижение к устойчивому развитию страны и регионов.</w:t>
      </w:r>
    </w:p>
    <w:p>
      <w:pPr>
        <w:spacing w:after="60"/>
        <w:ind w:firstLine="567"/>
        <w:jc w:val="both"/>
      </w:pPr>
      <w:r>
        <w:rPr>
          <w:rFonts w:ascii="Arial" w:cs="Arial" w:eastAsia="Arial" w:hAnsi="Arial"/>
          <w:sz w:val="24"/>
          <w:szCs w:val="24"/>
        </w:rPr>
        <w:t xml:space="preserve">Политика в сфере недропользования будет построена на основе поддержания баланса интересов государства и горнодобывающего бизнеса. Базовым принципом политики будет создание условий для всемерного развития частной инициативы, которая должна принять на себя коммерческие риски через обеспечение финансовыми и человеческими ресурсами в рамках простых, четких и прозрачных правил, сформулированных законодательством о недропользовании. Основными направлениями политики развития горнодобывающей отрасли будут:</w:t>
      </w:r>
    </w:p>
    <w:p>
      <w:pPr>
        <w:spacing w:after="60"/>
        <w:ind w:firstLine="567"/>
        <w:jc w:val="both"/>
      </w:pPr>
      <w:r>
        <w:rPr>
          <w:rFonts w:ascii="Arial" w:cs="Arial" w:eastAsia="Arial" w:hAnsi="Arial"/>
          <w:sz w:val="24"/>
          <w:szCs w:val="24"/>
        </w:rPr>
        <w:t xml:space="preserve">- создание благоприятных условий в области законодательства и государственного регулирования;</w:t>
      </w:r>
    </w:p>
    <w:p>
      <w:pPr>
        <w:spacing w:after="60"/>
        <w:ind w:firstLine="567"/>
        <w:jc w:val="both"/>
      </w:pPr>
      <w:r>
        <w:rPr>
          <w:rFonts w:ascii="Arial" w:cs="Arial" w:eastAsia="Arial" w:hAnsi="Arial"/>
          <w:sz w:val="24"/>
          <w:szCs w:val="24"/>
        </w:rPr>
        <w:t xml:space="preserve">- совершенствование геологической инфраструктуры;</w:t>
      </w:r>
    </w:p>
    <w:p>
      <w:pPr>
        <w:spacing w:after="60"/>
        <w:ind w:firstLine="567"/>
        <w:jc w:val="both"/>
      </w:pPr>
      <w:r>
        <w:rPr>
          <w:rFonts w:ascii="Arial" w:cs="Arial" w:eastAsia="Arial" w:hAnsi="Arial"/>
          <w:sz w:val="24"/>
          <w:szCs w:val="24"/>
        </w:rPr>
        <w:t xml:space="preserve">- ускоренное развитие золотодобывающей отрасли путем ввода в эксплуатацию уже подготовленных месторождений;</w:t>
      </w:r>
    </w:p>
    <w:p>
      <w:pPr>
        <w:spacing w:after="60"/>
        <w:ind w:firstLine="567"/>
        <w:jc w:val="both"/>
      </w:pPr>
      <w:r>
        <w:rPr>
          <w:rFonts w:ascii="Arial" w:cs="Arial" w:eastAsia="Arial" w:hAnsi="Arial"/>
          <w:sz w:val="24"/>
          <w:szCs w:val="24"/>
        </w:rPr>
        <w:t xml:space="preserve">- освоение новых месторождений полезных ископаемых и создание дополнительных рабочих мест;</w:t>
      </w:r>
    </w:p>
    <w:p>
      <w:pPr>
        <w:spacing w:after="60"/>
        <w:ind w:firstLine="567"/>
        <w:jc w:val="both"/>
      </w:pPr>
      <w:r>
        <w:rPr>
          <w:rFonts w:ascii="Arial" w:cs="Arial" w:eastAsia="Arial" w:hAnsi="Arial"/>
          <w:sz w:val="24"/>
          <w:szCs w:val="24"/>
        </w:rPr>
        <w:t xml:space="preserve">- ускоренное восстановление угольной и нефтегазовой промышленности путем ввода в эксплуатацию новых месторождений и увеличения добычи на разрабатываемых месторождениях;</w:t>
      </w:r>
    </w:p>
    <w:p>
      <w:pPr>
        <w:spacing w:after="60"/>
        <w:ind w:firstLine="567"/>
        <w:jc w:val="both"/>
      </w:pPr>
      <w:r>
        <w:rPr>
          <w:rFonts w:ascii="Arial" w:cs="Arial" w:eastAsia="Arial" w:hAnsi="Arial"/>
          <w:sz w:val="24"/>
          <w:szCs w:val="24"/>
        </w:rPr>
        <w:t xml:space="preserve">- внедрение передовых горнодобывающих технологий и противодействие применению расточительных и экологически вредных методов добычи;</w:t>
      </w:r>
    </w:p>
    <w:p>
      <w:pPr>
        <w:spacing w:after="60"/>
        <w:ind w:firstLine="567"/>
        <w:jc w:val="both"/>
      </w:pPr>
      <w:r>
        <w:rPr>
          <w:rFonts w:ascii="Arial" w:cs="Arial" w:eastAsia="Arial" w:hAnsi="Arial"/>
          <w:sz w:val="24"/>
          <w:szCs w:val="24"/>
        </w:rPr>
        <w:t xml:space="preserve">- выполнение обязательств в рамках Инициативы повышения прозрачности деятельности добывающих отраслей (ИПДДО).</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экспортных поставок и обеспечения занятости.</w:t>
      </w:r>
    </w:p>
    <w:p>
      <w:pPr>
        <w:spacing w:after="6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более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 а также неустойчивой работы энергетической отрасли (доля в промышленности около 17%) из-за влияния природно-климатического фактора.</w:t>
      </w:r>
    </w:p>
    <w:p>
      <w:pPr>
        <w:spacing w:after="60"/>
        <w:ind w:firstLine="567"/>
        <w:jc w:val="both"/>
      </w:pPr>
      <w:r>
        <w:rPr>
          <w:rFonts w:ascii="Arial" w:cs="Arial" w:eastAsia="Arial" w:hAnsi="Arial"/>
          <w:sz w:val="24"/>
          <w:szCs w:val="24"/>
        </w:rPr>
        <w:t xml:space="preserve">Прогноз развития промышленности на 2018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разработки на месторождении Кумтор, где прогнозируется снижение объемов добычи, обусловленное выходом на горизонты с меньшим содержанием золота в руде;</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 Левобережный, Иштамберди, Караказык и Жамгыр, производства на введенных нефтеперерабатывающих предприятиях и ввод в эксплуатацию месторождений Джеруй и Куру-Тегерек;</w:t>
      </w:r>
    </w:p>
    <w:p>
      <w:pPr>
        <w:spacing w:after="60"/>
        <w:ind w:firstLine="567"/>
        <w:jc w:val="both"/>
      </w:pPr>
      <w:r>
        <w:rPr>
          <w:rFonts w:ascii="Arial" w:cs="Arial" w:eastAsia="Arial" w:hAnsi="Arial"/>
          <w:sz w:val="24"/>
          <w:szCs w:val="24"/>
        </w:rPr>
        <w:t xml:space="preserve">- реальные перспективы для развития угольной промышленности страны на коммерческой основе как малых, так и крупных горнопромышленных компаний и, в основном, за счет открытого способа отработки;</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6-ти ключевых отраслей промышленности, без энергетики, составляет в среднем чуть более 70%, а на оставшиеся 14 отраслей приходится в среднем 30% промышленного производства);</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основных торговых партнерах - Российской Федерации, Республике Казахстан (сокращение спроса, что негативно отражается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волатильность цен на золото, сурьму, ртуть и др.</w:t>
      </w:r>
    </w:p>
    <w:p>
      <w:pPr>
        <w:spacing w:after="60"/>
        <w:ind w:firstLine="567"/>
        <w:jc w:val="both"/>
      </w:pPr>
      <w:r>
        <w:rPr>
          <w:rFonts w:ascii="Arial" w:cs="Arial" w:eastAsia="Arial" w:hAnsi="Arial"/>
          <w:sz w:val="24"/>
          <w:szCs w:val="24"/>
        </w:rPr>
        <w:t xml:space="preserve">В результате, в промышленном секторе на 2018 год прогнозируется реальный рост объемов производства на 1,3%. Без учета предприятий по разработке месторождения Кумтор, реальный прирост промышленного производства прогнозируется на уровне 9,4%.</w:t>
      </w:r>
    </w:p>
    <w:p>
      <w:pPr>
        <w:spacing w:after="240" w:before="240"/>
        <w:ind w:firstLine="567"/>
        <w:jc w:val="right"/>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Динамика темпов роста в отраслях промышленности, в %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4"/>
        <w:gridCol w:w="977"/>
        <w:gridCol w:w="977"/>
      </w:tblGrid>
      <w:tr>
        <w:tc>
          <w:tcPr>
            <w:tcW w:type="dxa" w:w="82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99,0</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101,3</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8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bl>
    <w:p>
      <w:pPr>
        <w:spacing w:after="60" w:before="120"/>
        <w:ind w:firstLine="567"/>
        <w:jc w:val="both"/>
      </w:pPr>
      <w:r>
        <w:rPr>
          <w:rFonts w:ascii="Arial" w:cs="Arial" w:eastAsia="Arial" w:hAnsi="Arial"/>
          <w:sz w:val="24"/>
          <w:szCs w:val="24"/>
        </w:rPr>
        <w:t xml:space="preserve">В целом вклад в рост ВВП нейтральный, с удельным весом в общем объеме ВВП 16,3%, без учета предприятий по разработке месторождения Кумтор положительный вклад в рост ВВП составит 0,75 процентного пункта.</w:t>
      </w:r>
    </w:p>
    <w:p>
      <w:pPr>
        <w:spacing w:after="60"/>
        <w:ind w:firstLine="567"/>
        <w:jc w:val="both"/>
      </w:pPr>
      <w:r>
        <w:rPr>
          <w:rFonts w:ascii="Arial" w:cs="Arial" w:eastAsia="Arial" w:hAnsi="Arial"/>
          <w:sz w:val="24"/>
          <w:szCs w:val="24"/>
        </w:rPr>
        <w:t xml:space="preserve">(1) В обрабатывающем производстве самый высокий удельный вес (74,5%) в производстве промышленной продукции, в 2018 году прогнозируется реальное снижение на 1,4%, которое обусловлено, в основном, за счет уменьшения объемов добычи металла на месторождении Кумтор. Согласно техническому отчету компании "Центерра Голд Инк." по руднику Кумтор (43-101) от 20 марта 2015 года и релизу компании "Центерра Голд Инк." по обзору на среднесрочный период, объемы добычи на 2018 год снижены по сравнению с 2014-2017 годами из-за сокращения ранее подтвержденных и прогнозируемых запасов золота на месторождении Кумтор,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На месторождении Кумтор объем производства основных металлов прогнозируется в количестве 458 тыс. унций (14,2 т) и отрицательный вклад в рост ВВП составит 0,8 процентного пункта, с удельным весом в общем объеме ВВП 7,6%.</w:t>
      </w:r>
    </w:p>
    <w:p>
      <w:pPr>
        <w:spacing w:after="60"/>
        <w:ind w:firstLine="567"/>
        <w:jc w:val="both"/>
      </w:pPr>
      <w:r>
        <w:rPr>
          <w:rFonts w:ascii="Arial" w:cs="Arial" w:eastAsia="Arial" w:hAnsi="Arial"/>
          <w:sz w:val="24"/>
          <w:szCs w:val="24"/>
        </w:rPr>
        <w:t xml:space="preserve">Кроме этого прогнозируется уменьшение объемов производства ОАО "Кыргызалтын", где за последние годы наблюдается устойчивое снижение объемов добычи по сравнению с 2013 годом, когда был обеспечен наибольший объем добычи - 520 кг. Это связано с истощением детально разведенных промышленных запасов золота на месторождении Макмал, где полностью отработаны запасы, сосредоточенные на горизонтах штолен № 6 и 11. В 2018 году разработка будет только с горизонта штольни № 10, производительность добычи руды упадет практически в 3 раза. Кроме того, более 5 лет не решается вопрос по выведению с территории национального парка "Саймалуу-Таш" месторождения Кылдоо, соответственно, не проводятся горно-подготовительные и геологоразведочные работы. Филиал рудника Солтон-Сары эксплуатируется более 20 лет. В целях эффективной работы рудника требуются строительство нового хвостохранилища и реконструкция золотоизвлекательной фабрики.</w:t>
      </w:r>
    </w:p>
    <w:p>
      <w:pPr>
        <w:spacing w:after="60"/>
        <w:ind w:firstLine="567"/>
        <w:jc w:val="both"/>
      </w:pPr>
      <w:r>
        <w:rPr>
          <w:rFonts w:ascii="Arial" w:cs="Arial" w:eastAsia="Arial" w:hAnsi="Arial"/>
          <w:sz w:val="24"/>
          <w:szCs w:val="24"/>
        </w:rPr>
        <w:t xml:space="preserve">В результате ОАО "Кыргызалтын" на 2018 год прогнозируется золото в объеме 260,2 кг, против 285,0 кг в 2017 году.</w:t>
      </w:r>
    </w:p>
    <w:p>
      <w:pPr>
        <w:spacing w:after="60"/>
        <w:ind w:firstLine="567"/>
        <w:jc w:val="both"/>
      </w:pPr>
      <w:r>
        <w:rPr>
          <w:rFonts w:ascii="Arial" w:cs="Arial" w:eastAsia="Arial" w:hAnsi="Arial"/>
          <w:sz w:val="24"/>
          <w:szCs w:val="24"/>
        </w:rPr>
        <w:t xml:space="preserve">Положительный вклад в рост ВВП обеспечат:</w:t>
      </w:r>
    </w:p>
    <w:p>
      <w:pPr>
        <w:spacing w:after="60"/>
        <w:ind w:firstLine="567"/>
        <w:jc w:val="both"/>
      </w:pPr>
      <w:r>
        <w:rPr>
          <w:rFonts w:ascii="Arial" w:cs="Arial" w:eastAsia="Arial" w:hAnsi="Arial"/>
          <w:sz w:val="24"/>
          <w:szCs w:val="24"/>
        </w:rPr>
        <w:t xml:space="preserve">- реальный рост производства продуктов (включая напитки) и табачных изделий (удельный вес в общем объеме промышленности 12,5%), где прогнозируется прирост на 2,5% за счет устойчивой работы предприятий по производству хлеба, муки, молочных продуктов и других продуктов питания, спрос на которые стабильный;</w:t>
      </w:r>
    </w:p>
    <w:p>
      <w:pPr>
        <w:spacing w:after="60"/>
        <w:ind w:firstLine="567"/>
        <w:jc w:val="both"/>
      </w:pPr>
      <w:r>
        <w:rPr>
          <w:rFonts w:ascii="Arial" w:cs="Arial" w:eastAsia="Arial" w:hAnsi="Arial"/>
          <w:sz w:val="24"/>
          <w:szCs w:val="24"/>
        </w:rPr>
        <w:t xml:space="preserve">- увеличение производства кокса и очищенных нефтепродуктов на 25%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 производство резиновых и пластмассовых изделий, прочих неметаллических минеральных продуктов (рост на 4%), удельный вес в общем объеме промышленности которых составит 6,9% за счет: (а) обеспечения стабильной работы ОсОО "Интергласс", где объем производства листового стекла возрастет на 2,8% по сравнению с 2017 годом и достигнет 18,5 млн. кв.м за счет возобновления спроса на кыргызское листовое стекло на его основных рынках сбыта - России и Казахстана, куда поставлено до 95,0%; (б) рост производства цемента и асбестоцементных изделий прогнозируется за счет развития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w:t>
      </w:r>
    </w:p>
    <w:p>
      <w:pPr>
        <w:spacing w:after="60"/>
        <w:ind w:firstLine="567"/>
        <w:jc w:val="both"/>
      </w:pPr>
      <w:r>
        <w:rPr>
          <w:rFonts w:ascii="Arial" w:cs="Arial" w:eastAsia="Arial" w:hAnsi="Arial"/>
          <w:sz w:val="24"/>
          <w:szCs w:val="24"/>
        </w:rPr>
        <w:t xml:space="preserve">- текстильное производство; производство одежды и обуви, кожи и прочих кожаных изделий (удельный вес в общем объеме промышленности - 2,7%), где прогнозируется реальный прирост на 2,0% за счет ожидаемого восстановления производства одежды после существенного спада в 2013-2016 годах. Прогноз умеренного роста обусловлен возможными рисками при экспорте товаров в условиях функционирования Кыргызской Республики в ЕАЭС;</w:t>
      </w:r>
    </w:p>
    <w:p>
      <w:pPr>
        <w:spacing w:after="60"/>
        <w:ind w:firstLine="567"/>
        <w:jc w:val="both"/>
      </w:pPr>
      <w:r>
        <w:rPr>
          <w:rFonts w:ascii="Arial" w:cs="Arial" w:eastAsia="Arial" w:hAnsi="Arial"/>
          <w:sz w:val="24"/>
          <w:szCs w:val="24"/>
        </w:rPr>
        <w:t xml:space="preserve">- производство готовых металлических изделий за счет повышения технологического уровня и качества выпускаемой продукции предприятиями данной отрасли, улучшения маркетинговой службы, увеличения объемов выполнения услуг для населения; реализации контрактов по поставкам спецпродукции в Индию ОАО "Транснациональной корпорацией Дастан" (далее - ТНК "Дастан"), потребителям стран СНГ и дальнего зарубежья государственное предприятие "Бишкекский штамповочный завод" (далее - ГП "БШЗ"); поставок медицинской техники (центрифуг) ОАО ТНК "Дастан" странам СНГ; роста экспортных поставок тракторных прицепов (АО "Автосборочный завод") в Республику Казахстан; изготовления и поставок специального и технологического оборудования, приборов автоматического контроля, узлов и деталей для технологического оборудования ОАО "Бишкекский машиностроительный завод" и ГП "БШЗ" ОАО "Тульский патронный завод", ОАО "Новосибирский патронный завод", ЗАО "Барнаульский патронный завод", ОАО "Конструкторское бюро автоматических линий им.Кошкина" (гор. Климовск).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и машин (прирост на 1,0%), производству деревянных и бумажных изделий; полиграфической деятельности (на 1,0%), производству фармацевтической продукции (на 4,0%), компьютеров, электронного и оптического оборудования (на 1,0%), транспортных средств (на 3,0%) и т.д.</w:t>
      </w:r>
    </w:p>
    <w:p>
      <w:pPr>
        <w:spacing w:after="60"/>
        <w:ind w:firstLine="567"/>
        <w:jc w:val="both"/>
      </w:pPr>
      <w:r>
        <w:rPr>
          <w:rFonts w:ascii="Arial" w:cs="Arial" w:eastAsia="Arial" w:hAnsi="Arial"/>
          <w:sz w:val="24"/>
          <w:szCs w:val="24"/>
        </w:rPr>
        <w:t xml:space="preserve">(2) В добыче полезных ископаемых (удельный вес 7,8% в объеме промышленного производства) в 2018 году прирост объема производства прогнозируется на уровне 24,2%, в том числе добыча каменного и бурого угля увеличится на 5,3%, металлических руд - в 1,4 раза, прочих полезных ископаемых - на 3,2%.</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ГП "Кыргызкомур"; сохранения достигнутых объемов реализации кыргызских углей на внутреннем рынке при прохождении осенне-зимнего периода с наращиванием поставок кыргызских углей на ТЭЦ гор. Бишкек после ее реконструкции; осуществления запланированных мероприятий ОАО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месторождениях Бозымчак, Иштамберди, Кара-Казык.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16,9%) на 2018 год прогнозируется прирост объемов на 4,5%.</w:t>
      </w:r>
    </w:p>
    <w:p>
      <w:pPr>
        <w:spacing w:after="60"/>
        <w:ind w:firstLine="567"/>
        <w:jc w:val="both"/>
      </w:pPr>
      <w:r>
        <w:rPr>
          <w:rFonts w:ascii="Arial" w:cs="Arial" w:eastAsia="Arial" w:hAnsi="Arial"/>
          <w:sz w:val="24"/>
          <w:szCs w:val="24"/>
        </w:rPr>
        <w:t xml:space="preserve">При расчете прогнозных показателей предусмотрен рост внутреннего потребления электроэнергии по представленным прогнозным заявкам РЭК, увеличение выработки электроэнергии на ТЭЦ гор. Бишкек с 2017 года в связи с завершением реконструкции станции.</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15221,1 млн. кВтч, что больше на 575,1 млн. кВтч по сравнению с 2017 годом, которая рассчитана с учетом среднемноголетней приточности реки Нарын в створе Токтогульского гидроузла. При этом выработка на ТЭЦ города Бишкек составит 1735,1 млн. кВтч и возрастет на 294,2 млн. кВтч по сравнению с 2017 годом за счет ввода энергоблока в связи с завершением модернизации ТЭЦ города Бишкек. Выработка электроэнергии на ГЭС возрастет на 280,9 млн. кВтч в связи с ростом потребности в электроэнергии.</w:t>
      </w:r>
    </w:p>
    <w:p>
      <w:pPr>
        <w:spacing w:after="60"/>
        <w:ind w:firstLine="567"/>
        <w:jc w:val="both"/>
      </w:pPr>
      <w:r>
        <w:rPr>
          <w:rFonts w:ascii="Arial" w:cs="Arial" w:eastAsia="Arial" w:hAnsi="Arial"/>
          <w:sz w:val="24"/>
          <w:szCs w:val="24"/>
        </w:rPr>
        <w:t xml:space="preserve">Исходя из необходимости сохранения и накопления водноэнергетических ресурсов в целях более рационального использования Токтогульского водохранилища многолетнего регулирования, а также для удовлетворения потребления электроэнергии на внутреннем рынке в 2018 году предусмотрен взаимообмен с Республикой Казахстан в объеме 250 млн. кВтч, при этом экспорта и импорта электроэнергии не будет.</w:t>
      </w:r>
    </w:p>
    <w:p>
      <w:pPr>
        <w:spacing w:after="60"/>
        <w:ind w:firstLine="567"/>
        <w:jc w:val="both"/>
      </w:pPr>
      <w:r>
        <w:rPr>
          <w:rFonts w:ascii="Arial" w:cs="Arial" w:eastAsia="Arial" w:hAnsi="Arial"/>
          <w:sz w:val="24"/>
          <w:szCs w:val="24"/>
        </w:rPr>
        <w:t xml:space="preserve">Для обеспечения устойчивой работы энергетической отрасли в 2018 году запланированы капитальные вложения на сумму 3152,6 млн. сомов. Ввод основных фондов, главным образом, будет обеспечен за счет освоенных в предыдущие годы капитальных вложений. Финансовые институты, обеспечивающие финансирование капитальных вложений, остались прежние, за исключением Фонда ЕАБР. За рассматриваемый период планируется ввести в действие новые генерирующие мощности с установленной мощностью 450 МВт. Также предусмотрены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SCADA и АИСКУЭ.</w:t>
      </w:r>
    </w:p>
    <w:p>
      <w:pPr>
        <w:spacing w:after="60"/>
        <w:ind w:firstLine="567"/>
        <w:jc w:val="both"/>
      </w:pPr>
      <w:r>
        <w:rPr>
          <w:rFonts w:ascii="Arial" w:cs="Arial" w:eastAsia="Arial" w:hAnsi="Arial"/>
          <w:sz w:val="24"/>
          <w:szCs w:val="24"/>
        </w:rPr>
        <w:t xml:space="preserve">Разработанная ОАО "Газпром" (Российская Федерация)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w:t>
      </w:r>
    </w:p>
    <w:p>
      <w:pPr>
        <w:spacing w:after="60"/>
        <w:ind w:firstLine="567"/>
        <w:jc w:val="both"/>
      </w:pPr>
      <w:r>
        <w:rPr>
          <w:rFonts w:ascii="Arial" w:cs="Arial" w:eastAsia="Arial" w:hAnsi="Arial"/>
          <w:sz w:val="24"/>
          <w:szCs w:val="24"/>
        </w:rPr>
        <w:t xml:space="preserve">Всего в 2018 году поступление природного газа в Кыргызскую Республику прогнозируется в объеме 353,4 млн. м</w:t>
      </w:r>
      <w:r>
        <w:rPr>
          <w:rFonts w:ascii="Arial" w:cs="Arial" w:eastAsia="Arial" w:hAnsi="Arial"/>
          <w:sz w:val="24"/>
          <w:szCs w:val="24"/>
        </w:rPr>
        <w:t xml:space="preserve">3</w:t>
      </w:r>
      <w:r>
        <w:rPr>
          <w:rFonts w:ascii="Arial" w:cs="Arial" w:eastAsia="Arial" w:hAnsi="Arial"/>
          <w:sz w:val="24"/>
          <w:szCs w:val="24"/>
        </w:rPr>
        <w:t xml:space="preserve">, что на 10,6% больше по сравнению с 2017 годом, что позволит увеличить объем услуг по распределению газообразного топлива через системы газоснабжения на 11,1%.</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(0,9%), прогнозируется реальный рост на уровне 5,1% за счет сбора, обработки и распределения воды (водоснабжение) (рост на 5,2%), сбора, обработки и уничтожения отходов, получения вторичного сырья (на 5%) и проведения обеззараживания и прочей обработки отходов (на 5%).</w:t>
      </w:r>
    </w:p>
    <w:p>
      <w:pPr>
        <w:spacing w:after="60"/>
        <w:ind w:firstLine="567"/>
        <w:jc w:val="both"/>
      </w:pPr>
      <w:r>
        <w:rPr>
          <w:rFonts w:ascii="Arial" w:cs="Arial" w:eastAsia="Arial" w:hAnsi="Arial"/>
          <w:sz w:val="24"/>
          <w:szCs w:val="24"/>
        </w:rPr>
        <w:t xml:space="preserve">Рост физического объема промышленной продукции на 2018 год прогнозируется достичь во всех регионах республики. Основной вклад в объем промышленного производства традиционно внесут Чуйская (44,1%), Иссык-Кульская (21,3%), Джалал-Абадская (11,1%) области и гор. Бишкек (15,8%), суммарная доля которых составит 92,3%. В Иссык-Кульской и Чуйской областях рост объемов производства промышленной продукции прогнозируется за счет стабильной работы предприятий по разработке месторождения Кумтор и наращивания объемов производства НПЗ "Джунда" и Токмакского НПЗ, в Джалал-Абадской области - наращивания объемов производства на месторождении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Для достижения прогнозируемых показателей будут решены следующие задачи:</w:t>
      </w:r>
    </w:p>
    <w:p>
      <w:pPr>
        <w:spacing w:after="60"/>
        <w:ind w:firstLine="567"/>
        <w:jc w:val="both"/>
      </w:pPr>
      <w:r>
        <w:rPr>
          <w:rFonts w:ascii="Arial" w:cs="Arial" w:eastAsia="Arial" w:hAnsi="Arial"/>
          <w:sz w:val="24"/>
          <w:szCs w:val="24"/>
        </w:rPr>
        <w:t xml:space="preserve">- рациональное размещение предприятий, обеспечивающих баланс спроса и предложения;</w:t>
      </w:r>
    </w:p>
    <w:p>
      <w:pPr>
        <w:spacing w:after="60"/>
        <w:ind w:firstLine="567"/>
        <w:jc w:val="both"/>
      </w:pPr>
      <w:r>
        <w:rPr>
          <w:rFonts w:ascii="Arial" w:cs="Arial" w:eastAsia="Arial" w:hAnsi="Arial"/>
          <w:sz w:val="24"/>
          <w:szCs w:val="24"/>
        </w:rPr>
        <w:t xml:space="preserve">- создание комфортных, конкурентных и побудительных условий для новых производств, проведение технологического перевооружения и модернизации основных фондов отрасли; защита предприятий отрасли, реализующих инвестиционные проекты и развивающих высокотехнологичные производства, от воздействия внешних экономических рисков;</w:t>
      </w:r>
    </w:p>
    <w:p>
      <w:pPr>
        <w:spacing w:after="60"/>
        <w:ind w:firstLine="567"/>
        <w:jc w:val="both"/>
      </w:pPr>
      <w:r>
        <w:rPr>
          <w:rFonts w:ascii="Arial" w:cs="Arial" w:eastAsia="Arial" w:hAnsi="Arial"/>
          <w:sz w:val="24"/>
          <w:szCs w:val="24"/>
        </w:rPr>
        <w:t xml:space="preserve">- поддержка внедрения современных инновационных технологий с целью освоения производства новой инновационной продукции; мотивирование к снижению негативного воздействия на окружающую среду, в том числе путем внедрения наилучших доступных технологий; стимулирование внутреннего спроса на продукцию и создание новых рыночных ниш;</w:t>
      </w:r>
    </w:p>
    <w:p>
      <w:pPr>
        <w:spacing w:after="60"/>
        <w:ind w:firstLine="567"/>
        <w:jc w:val="both"/>
      </w:pPr>
      <w:r>
        <w:rPr>
          <w:rFonts w:ascii="Arial" w:cs="Arial" w:eastAsia="Arial" w:hAnsi="Arial"/>
          <w:sz w:val="24"/>
          <w:szCs w:val="24"/>
        </w:rPr>
        <w:t xml:space="preserve">- проведение импортозамещения за счет развития отечественной производственной базы; укрепление кадрового потенциала и поддержка профильного образования;</w:t>
      </w:r>
    </w:p>
    <w:p>
      <w:pPr>
        <w:spacing w:after="60"/>
        <w:ind w:firstLine="567"/>
        <w:jc w:val="both"/>
      </w:pPr>
      <w:r>
        <w:rPr>
          <w:rFonts w:ascii="Arial" w:cs="Arial" w:eastAsia="Arial" w:hAnsi="Arial"/>
          <w:sz w:val="24"/>
          <w:szCs w:val="24"/>
        </w:rPr>
        <w:t xml:space="preserve">- совершенствование технического регулирования и выработка мер поддержки экспортно-ориентированных производств;</w:t>
      </w:r>
    </w:p>
    <w:p>
      <w:pPr>
        <w:spacing w:after="60"/>
        <w:ind w:firstLine="567"/>
        <w:jc w:val="both"/>
      </w:pPr>
      <w:r>
        <w:rPr>
          <w:rFonts w:ascii="Arial" w:cs="Arial" w:eastAsia="Arial" w:hAnsi="Arial"/>
          <w:sz w:val="24"/>
          <w:szCs w:val="24"/>
        </w:rPr>
        <w:t xml:space="preserve">- повышение качества государственного регулирования при проведении промышленной политики.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перебои в обеспечения источниками финансирования запланированных капитальных вложений в энергетике;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функционирования Кыргызской Республики в ЕАЭС и т.д.</w:t>
      </w:r>
    </w:p>
    <w:p>
      <w:pPr>
        <w:spacing w:after="60" w:before="200"/>
        <w:ind w:firstLine="567"/>
        <w:jc w:val="left"/>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В 2018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2018 году прогнозируется увеличение капитальных вложений на 11,0%, объемы составят 171,3 млрд. сомов.</w:t>
      </w:r>
    </w:p>
    <w:p>
      <w:pPr>
        <w:spacing w:after="60" w:before="240"/>
        <w:ind w:firstLine="567"/>
        <w:jc w:val="right"/>
      </w:pPr>
      <w:r>
        <w:rPr>
          <w:rFonts w:ascii="Arial" w:cs="Arial" w:eastAsia="Arial" w:hAnsi="Arial"/>
          <w:sz w:val="24"/>
          <w:szCs w:val="24"/>
        </w:rPr>
        <w:t xml:space="preserve">Таблица 15</w:t>
      </w:r>
    </w:p>
    <w:p>
      <w:pPr>
        <w:spacing w:after="240" w:before="200"/>
        <w:jc w:val="center"/>
      </w:pPr>
      <w:r>
        <w:rPr>
          <w:rFonts w:ascii="Arial" w:cs="Arial" w:eastAsia="Arial" w:hAnsi="Arial"/>
          <w:b/>
          <w:bCs/>
          <w:sz w:val="32"/>
          <w:szCs w:val="32"/>
        </w:rPr>
        <w:t xml:space="preserve">Динамика темпов роста в строительной отрасли на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4"/>
        <w:gridCol w:w="1391"/>
        <w:gridCol w:w="1391"/>
        <w:gridCol w:w="1391"/>
        <w:gridCol w:w="1391"/>
      </w:tblGrid>
      <w:tr>
        <w:tc>
          <w:tcPr>
            <w:tcW w:type="dxa" w:w="46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ожид.</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150563,0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171347,3</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79452,4</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89671,7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71110,6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81675,6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4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146220,5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165613,0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2017 году изменится в сторону снижения доли внутренних инвестиций с 52,8% до 52,3%, соответственно, и увеличения доли внешних инвестиций с 47,2% до 47,7%.</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составляющие 94,7%.</w:t>
      </w:r>
    </w:p>
    <w:p>
      <w:pPr>
        <w:spacing w:after="60"/>
        <w:ind w:firstLine="567"/>
        <w:jc w:val="both"/>
      </w:pPr>
      <w:r>
        <w:rPr>
          <w:rFonts w:ascii="Arial" w:cs="Arial" w:eastAsia="Arial" w:hAnsi="Arial"/>
          <w:sz w:val="24"/>
          <w:szCs w:val="24"/>
        </w:rPr>
        <w:t xml:space="preserve">Приоритетными направлениями в строительстве в 2018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2600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будут на обеспечение устойчивого экономического развития регионов.</w:t>
      </w:r>
    </w:p>
    <w:p>
      <w:pPr>
        <w:spacing w:after="60"/>
        <w:ind w:firstLine="567"/>
        <w:jc w:val="both"/>
      </w:pPr>
      <w:r>
        <w:rPr>
          <w:rFonts w:ascii="Arial" w:cs="Arial" w:eastAsia="Arial" w:hAnsi="Arial"/>
          <w:sz w:val="24"/>
          <w:szCs w:val="24"/>
        </w:rPr>
        <w:t xml:space="preserve">При увеличении ресурсов капитальные вложения за счет государственного бюджета будут направлены на финансирование завершения строительства ранее начатых объектов образования, здравоохранения, культуры и спорта, будет продолжено финансирование строительства и развития социальной и инженерной инфраструктуры города Бишкек, также планируется в приоритетном порядке финансирование строительства автомобильных дорог стратегического значения и автодорог, в приграничных районах республики. В соответствии с государственной программой развития ирригации на 2017-2026 годы водохозяйственных сооружений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48,8 млрд. сомов сформированы за счет инвестиций ЗАО "Кумтор Голд компани" (5834,1 млн. сомов), ОАО "Кыргызалтын" (165 млн. сомов), ОсОО "Алтынкен" (107 млн. сомов), ОсОО "Газпром Кыргызстан" и др.</w:t>
      </w:r>
    </w:p>
    <w:p>
      <w:pPr>
        <w:spacing w:after="60"/>
        <w:ind w:firstLine="567"/>
        <w:jc w:val="both"/>
      </w:pPr>
      <w:r>
        <w:rPr>
          <w:rFonts w:ascii="Arial" w:cs="Arial" w:eastAsia="Arial" w:hAnsi="Arial"/>
          <w:sz w:val="24"/>
          <w:szCs w:val="24"/>
        </w:rPr>
        <w:t xml:space="preserve">В 2018 году будут реализованы крупные инвестиционные проекты в транспортной и энергетической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20567,8 млн. сомов, которые ожидаются за счет: проектов Реконструкции автодороги "Тараз-Талас-Суусамыр </w:t>
      </w:r>
      <w:r>
        <w:rPr>
          <w:rFonts w:ascii="Arial" w:cs="Arial" w:eastAsia="Arial" w:hAnsi="Arial"/>
          <w:sz w:val="24"/>
          <w:szCs w:val="24"/>
        </w:rPr>
        <w:t xml:space="preserve">III</w:t>
      </w:r>
      <w:r>
        <w:rPr>
          <w:rFonts w:ascii="Arial" w:cs="Arial" w:eastAsia="Arial" w:hAnsi="Arial"/>
          <w:sz w:val="24"/>
          <w:szCs w:val="24"/>
        </w:rPr>
        <w:t xml:space="preserve">" (Исламский банк развития (далее - ИБР), Саудовский фонд развития (далее - СФР) (75,6 млн. сомов), Реабилитации автодороги "Ош-Баткен-Исфана" (ИБР) (551,4 млн. сомов), Строительства альтернативной автодороги Север-Юг, км 159-183 (ИБР, СФР) (609,2 млн. сомов), Реабилитации автодороги "Бишкек-Нарын-Торугарт" (ИБР, СФР, Кувейтский фонд арабского экономического развития, Организации стран-экспортеров нефти, Фонд развития Абу-Даби) (193,9 млн. сомов), проекта "Улучшение коридора ЦАРЭС 3" (автодорога Бишкек-Ош, участок Бишкек-Кара-Балта) Фаза 4 (АБР) (1874,4 млн. сомов), проекта "Улучшение автодороги Бишкек-Ош" Фаза 4 (Азиатский Кредитный Фонд ЕАБР (далее - АКФ ЕАБР)) (1353,4 млн. сомов), проекта "Улучшение дорожных путей сообщения в Центральной Азии" (дорога Ош-Худжант) (Всемирный банк) (866,3 млн. сомов), Строительства альтернативной дороги "Север-Юг" (Китайская Народная Республика) (6047,8 млн. сомов), Строительства альтернативной дороги "Север-Юг" 2 (КНР) (4517,8 млн. сомов), проекта "Соединительная дорога, коридоры ЦАРЭС 1 и 3" (АБР) (2646,0 млн. сомов), проекта "Улучшение основных международных дорог" (Japan International Cooperation Agency) (1134,4 млн. сомов), Третьей фазы проекта по улучшению дорожных путей сообщения в Центральной Азии ПУДПС ЦА-1 (1134,4 млн. сомов) и других.</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12233,2 млн. сомов, которые ожидаются за счет реализации проектов: "Модернизация ТЭЦ города Бишкек" (Китайская Народная Республика) (1459,1 млн. сомов), "Реабилитация сектора энергетики" (АБР) (528,9 млн. сомов), "Реконструкция Атбашинской ГЭС" (Швейцария) (590,3 млн. сомов), проекта CASA-1000 (2003,4 млн. сомов), проектов "Повышение подотчетности и надежности электроснабжения" (ВБ) (453,6 млн. сомов), "Улучшение электроснабжения Армянского массива Лейлекского района Баткенской области (ИБР) (615,4 млн. сомов), "Ввод второго агрегата Камбаратинской ГЭС-2" (АКФ ЕАБР) (2268,0 млн. сомов), "Вторая фаза реабилитации Токтогульской ГЭС" (АКФ ЕАБР) (4390,1 млн. сомов) и других.</w:t>
      </w:r>
    </w:p>
    <w:p>
      <w:pPr>
        <w:spacing w:after="60"/>
        <w:ind w:firstLine="567"/>
        <w:jc w:val="both"/>
      </w:pPr>
      <w:r>
        <w:rPr>
          <w:rFonts w:ascii="Arial" w:cs="Arial" w:eastAsia="Arial" w:hAnsi="Arial"/>
          <w:sz w:val="24"/>
          <w:szCs w:val="24"/>
        </w:rPr>
        <w:t xml:space="preserve">Объемы прямых иностранных инвестиций в сумме 19,7 млрд. сомов прогнозируются за счет капитальных вложений ОсОО "KAZ Minerals Bozymchak" (600,1 млн. сомов), ОсОО "Шамшыкал-Ата компани" (строительство цементного завода в городе Кара-Куль Джалал-Абадской области - 3258,0 млн. сомов), китайской компании ООО "Хэнаньская деловая корпорация Гуй Ю" (7240,0 млн. сомов), а также за счет строительства: (1) завода по переработке сульфидного медно-золотого концентрата (2896,0 млн. сомов); (2) завода по выпуску монолитных радиаторов (1810,0 млн.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2018 году прогнозируется на 10,5% и составит 165,6 млрд. сомов. Влияние строительного сектора на темпы экономического роста будет положительным и составит 0,95 процентного пункта, удельный вес строительства в структуре производства ВВП - 9,4%.</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(41,8%), Чуйская (14,9%), Иссык-Кульская (10,6%) и Джалал-Абадская (15,4%) области, суммарный вклад которых в развитие строительной отрасли составит 8,9 процентного пункта.</w:t>
      </w:r>
    </w:p>
    <w:p>
      <w:pPr>
        <w:spacing w:after="60"/>
        <w:ind w:firstLine="567"/>
        <w:jc w:val="both"/>
      </w:pPr>
      <w:r>
        <w:rPr>
          <w:rFonts w:ascii="Arial" w:cs="Arial" w:eastAsia="Arial" w:hAnsi="Arial"/>
          <w:sz w:val="24"/>
          <w:szCs w:val="24"/>
        </w:rPr>
        <w:t xml:space="preserve">При этом следует принять во внимание те факторы, которые влияют на развитие строительного сектора экономики. Следует учесть, что 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Многие строительные материалы завозятся в Кыргызскую Республику из Китайской Народной Республики и Турецкой Республики. Усиление требований, связанных с экспортом в страны ЕЭАС из третьих стран, может вызвать значительный рост цен на строительные материалы, вследствие чего, возможно, повышение цен на строительные материалы и недвижимость.</w:t>
      </w:r>
    </w:p>
    <w:p>
      <w:pPr>
        <w:spacing w:after="60"/>
        <w:ind w:firstLine="567"/>
        <w:jc w:val="both"/>
      </w:pPr>
      <w:r>
        <w:rPr>
          <w:rFonts w:ascii="Arial" w:cs="Arial" w:eastAsia="Arial" w:hAnsi="Arial"/>
          <w:sz w:val="24"/>
          <w:szCs w:val="24"/>
        </w:rPr>
        <w:t xml:space="preserve">Кроме того, из-за высоких процентов по банковским кредитам многие строительные компании могут отказаться от получения кредитов в банках, будут строить за счет собственных средств, что в свою очередь приведет к снижению деловой активности из-за ограниченности собственных средств.</w:t>
      </w:r>
    </w:p>
    <w:p>
      <w:pPr>
        <w:spacing w:after="60"/>
        <w:ind w:firstLine="567"/>
        <w:jc w:val="both"/>
      </w:pPr>
      <w:r>
        <w:rPr>
          <w:rFonts w:ascii="Arial" w:cs="Arial" w:eastAsia="Arial" w:hAnsi="Arial"/>
          <w:sz w:val="24"/>
          <w:szCs w:val="24"/>
        </w:rPr>
        <w:t xml:space="preserve">Также несвоевременное финансирование запланированных объемов капитальных вложений и недостаточный их объем могут быть причинами медленного темпа работ по строительству объектов.</w:t>
      </w:r>
    </w:p>
    <w:p>
      <w:pPr>
        <w:spacing w:after="60"/>
        <w:ind w:firstLine="567"/>
        <w:jc w:val="both"/>
      </w:pPr>
      <w:r>
        <w:rPr>
          <w:rFonts w:ascii="Arial" w:cs="Arial" w:eastAsia="Arial" w:hAnsi="Arial"/>
          <w:sz w:val="24"/>
          <w:szCs w:val="24"/>
        </w:rPr>
        <w:t xml:space="preserve">Вышеизложенные предпосылки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w:t>
      </w:r>
    </w:p>
    <w:p>
      <w:pPr>
        <w:spacing w:after="60"/>
        <w:ind w:firstLine="567"/>
        <w:jc w:val="both"/>
      </w:pPr>
      <w:r>
        <w:rPr>
          <w:rFonts w:ascii="Arial" w:cs="Arial" w:eastAsia="Arial" w:hAnsi="Arial"/>
          <w:sz w:val="24"/>
          <w:szCs w:val="24"/>
        </w:rPr>
        <w:t xml:space="preserve">- и т.д.</w:t>
      </w:r>
    </w:p>
    <w:p>
      <w:pPr>
        <w:spacing w:after="60" w:before="200"/>
        <w:ind w:firstLine="567"/>
        <w:jc w:val="left"/>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В 2018 году в сфере услуг объем валового выпуска составит 464,7 млрд. сомов с темпом роста 103,9%. В структуре ВВП сфера услуг занимает наибольшую долю (50,8%). Рыночные услуги вырастут на 4,8% и составят более 70% валового выпуска сферы услуг. Темп роста нерыночных услуг составит 101,4%. Рост будет обеспечен за счет улучшения внутреннего потребительского спроса, восстановления экономик стран - основных торговых партнеров республики.</w:t>
      </w:r>
    </w:p>
    <w:p>
      <w:pPr>
        <w:spacing w:after="240" w:before="240"/>
        <w:ind w:firstLine="567"/>
        <w:jc w:val="right"/>
      </w:pPr>
      <w:r>
        <w:rPr>
          <w:rFonts w:ascii="Arial" w:cs="Arial" w:eastAsia="Arial" w:hAnsi="Arial"/>
          <w:sz w:val="24"/>
          <w:szCs w:val="24"/>
        </w:rPr>
        <w:t xml:space="preserve">Таблица 16</w:t>
      </w:r>
    </w:p>
    <w:p>
      <w:pPr>
        <w:spacing w:after="240" w:before="200"/>
        <w:jc w:val="center"/>
      </w:pPr>
      <w:r>
        <w:rPr>
          <w:rFonts w:ascii="Arial" w:cs="Arial" w:eastAsia="Arial" w:hAnsi="Arial"/>
          <w:b/>
          <w:bCs/>
          <w:sz w:val="32"/>
          <w:szCs w:val="32"/>
        </w:rPr>
        <w:t xml:space="preserve">Динамика темпов роста в отраслях сферы услуг,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32"/>
        <w:gridCol w:w="1073"/>
        <w:gridCol w:w="1073"/>
      </w:tblGrid>
      <w:tr>
        <w:tc>
          <w:tcPr>
            <w:tcW w:type="dxa" w:w="803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103,9</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8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Адаптация экономики к условиям ЕАЭС, применение унифицированных тарифов, улучшение положения граждан Кыргызской Республики за рубежом станут основными факторами развития торговли в республике. Оптовая и розничная торговля; ремонт автомобилей и мотоциклов в 2018 году традиционно займут более трети объема сферы услуг с вкладом 2,5 процентного пункта. Валовой выпуск оптовой и розничной торговли сложится в объеме 167,2 млрд. сомов, а темп роста замедлится до 107,0%. Со стороны внутреннего спроса на данный рост будет оказывать влияние ожидаемое увеличение денежных доходов населения в 2018 году на 3,3%, а также улучшение предпринимательской среды.</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2018 году сложится на уровне 47,8 млрд. сомов, с темпом реального роста 102,2%. Данный рост будет обеспечен увеличением грузовых перевозок за счет применения унифицированных тарифов в рамках ЕАЭС, грузовых и пассажирских перевозок, за счет улучшения автотранспортной системы страны, строительства новых и модернизации существующих дорог, расширения географии полетов. Увеличение количества и объемов грузоперевозок ввиду упрощения таможенных процедур ожидается и в последующие годы.</w:t>
      </w:r>
    </w:p>
    <w:p>
      <w:pPr>
        <w:spacing w:after="60"/>
        <w:ind w:firstLine="567"/>
        <w:jc w:val="both"/>
      </w:pPr>
      <w:r>
        <w:rPr>
          <w:rFonts w:ascii="Arial" w:cs="Arial" w:eastAsia="Arial" w:hAnsi="Arial"/>
          <w:sz w:val="24"/>
          <w:szCs w:val="24"/>
        </w:rPr>
        <w:t xml:space="preserve">В 2018 году валовой выпуск услуг связи и информации сложится в объеме 34,4 млрд. сомов, а темп реального роста составит 101,1%. Значительное влияние на данный рост окажет широкая информационная кампания по подготовке проведения следующих Всемирных игр кочевников. Развитие внутренней цифровой телерадиовещательной системы, улучшение качества услуг сотовой связи станут факторами роста услуг связи и информации в 2018 году.</w:t>
      </w:r>
    </w:p>
    <w:p>
      <w:pPr>
        <w:spacing w:after="60"/>
        <w:ind w:firstLine="567"/>
        <w:jc w:val="both"/>
      </w:pPr>
      <w:r>
        <w:rPr>
          <w:rFonts w:ascii="Arial" w:cs="Arial" w:eastAsia="Arial" w:hAnsi="Arial"/>
          <w:sz w:val="24"/>
          <w:szCs w:val="24"/>
        </w:rPr>
        <w:t xml:space="preserve">Развитие туризма будет осуществляться с учетом мировых тенденций и отечественных особенностей данной сферы. Интенсивная рекламная кампания, проводимая в 2016 году и направленная на повышение узнаваемости Кыргызстана как страны туризма, будет продолжена в 2017 году в свете планируемых к проведению </w:t>
      </w:r>
      <w:r>
        <w:rPr>
          <w:rFonts w:ascii="Arial" w:cs="Arial" w:eastAsia="Arial" w:hAnsi="Arial"/>
          <w:sz w:val="24"/>
          <w:szCs w:val="24"/>
        </w:rPr>
        <w:t xml:space="preserve">III </w:t>
      </w:r>
      <w:r>
        <w:rPr>
          <w:rFonts w:ascii="Arial" w:cs="Arial" w:eastAsia="Arial" w:hAnsi="Arial"/>
          <w:sz w:val="24"/>
          <w:szCs w:val="24"/>
        </w:rPr>
        <w:t xml:space="preserve">Всемирных игр кочевников в 2018 году. Постепенный рост показателей туризма будет достигаться путем реализации мероприятий, заложенных в Программе Правительства Кыргызской Республики по развитию сферы туризма до 2020 года, утвержденной постановлением Правительства Кыргызской Республики от 11 апреля 2016 года № 192. Основными приоритетами в развитии данной отрасли будут:</w:t>
      </w:r>
    </w:p>
    <w:p>
      <w:pPr>
        <w:spacing w:after="60"/>
        <w:ind w:firstLine="567"/>
        <w:jc w:val="both"/>
      </w:pPr>
      <w:r>
        <w:rPr>
          <w:rFonts w:ascii="Arial" w:cs="Arial" w:eastAsia="Arial" w:hAnsi="Arial"/>
          <w:sz w:val="24"/>
          <w:szCs w:val="24"/>
        </w:rPr>
        <w:t xml:space="preserve">- улучшение туристической инфраструктуры;</w:t>
      </w:r>
    </w:p>
    <w:p>
      <w:pPr>
        <w:spacing w:after="60"/>
        <w:ind w:firstLine="567"/>
        <w:jc w:val="both"/>
      </w:pPr>
      <w:r>
        <w:rPr>
          <w:rFonts w:ascii="Arial" w:cs="Arial" w:eastAsia="Arial" w:hAnsi="Arial"/>
          <w:sz w:val="24"/>
          <w:szCs w:val="24"/>
        </w:rPr>
        <w:t xml:space="preserve">- повышение имиджа Кыргызстана на международной туристической арене путем проведения информационных кампаний;</w:t>
      </w:r>
    </w:p>
    <w:p>
      <w:pPr>
        <w:spacing w:after="60"/>
        <w:ind w:firstLine="567"/>
        <w:jc w:val="both"/>
      </w:pPr>
      <w:r>
        <w:rPr>
          <w:rFonts w:ascii="Arial" w:cs="Arial" w:eastAsia="Arial" w:hAnsi="Arial"/>
          <w:sz w:val="24"/>
          <w:szCs w:val="24"/>
        </w:rPr>
        <w:t xml:space="preserve">- повышение уровня системы комплексной безопасности туристов на территории Кыргызстана, в том числе санитарной и экологической;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обеспечение охраны окружающей среды в интересах местного сообщества и субъектов туристской отрасли страны с учетом оценки природной рекреационной емкости действующих и потенциальных туристско-рекреационных зон.</w:t>
      </w:r>
    </w:p>
    <w:p>
      <w:pPr>
        <w:spacing w:after="60"/>
        <w:ind w:firstLine="567"/>
        <w:jc w:val="both"/>
      </w:pPr>
      <w:r>
        <w:rPr>
          <w:rFonts w:ascii="Arial" w:cs="Arial" w:eastAsia="Arial" w:hAnsi="Arial"/>
          <w:sz w:val="24"/>
          <w:szCs w:val="24"/>
        </w:rPr>
        <w:t xml:space="preserve">Учитывая существующие проблемы, препятствующие развитию отрасли туризма, а также непредсказуемые погодные условия в летний (основной) туристический сезон (как например, дождливые погодные условия в летний сезон 2016 года), валовая добавленная стоимость сферы туризма в 2018 году ожидается на уровне 4,7% к ВВП страны и будет расти на протяжении последующих лет.</w:t>
      </w:r>
    </w:p>
    <w:p>
      <w:pPr>
        <w:spacing w:after="60"/>
        <w:ind w:firstLine="567"/>
        <w:jc w:val="both"/>
      </w:pPr>
      <w:r>
        <w:rPr>
          <w:rFonts w:ascii="Arial" w:cs="Arial" w:eastAsia="Arial" w:hAnsi="Arial"/>
          <w:sz w:val="24"/>
          <w:szCs w:val="24"/>
        </w:rPr>
        <w:t xml:space="preserve">В 2018 году в региональном разрезе основной вклад в объем рыночных услуг прогнозируется от города Бишкек (49,7%), Чуйской (11,6%), Джалал-Абадской (9,5%) областей. Их суммарный вклад составит 70,7%,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60" w:before="200"/>
        <w:ind w:firstLine="567"/>
        <w:jc w:val="left"/>
      </w:pPr>
      <w:r>
        <w:rPr>
          <w:rFonts w:ascii="Arial" w:cs="Arial" w:eastAsia="Arial" w:hAnsi="Arial"/>
          <w:b/>
          <w:bCs/>
          <w:sz w:val="24"/>
          <w:szCs w:val="24"/>
        </w:rPr>
        <w:t xml:space="preserve">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2018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деятельности будет создание благоприятных условий для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экспортоориентированных предприятий.</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5,8 млрд. долл. США, с номинальным превышением уровня 2017 года на 1,8%.</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1,65 млрд. долл. США, и темп роста сложится на уровне 3,1%, за счет увеличения поставок золота - 13,2%, сурьмы - в 1,2 р., стекла - на 2,8%, предметов одежды и одежных принадлежностей - на 4,8% и др.</w:t>
      </w:r>
    </w:p>
    <w:p>
      <w:pPr>
        <w:spacing w:after="60"/>
        <w:ind w:firstLine="567"/>
        <w:jc w:val="both"/>
      </w:pPr>
      <w:r>
        <w:rPr>
          <w:rFonts w:ascii="Arial" w:cs="Arial" w:eastAsia="Arial" w:hAnsi="Arial"/>
          <w:sz w:val="24"/>
          <w:szCs w:val="24"/>
        </w:rPr>
        <w:t xml:space="preserve">Объем импорта сложится в размере 4,15 млрд. долл. США и номинальный рост составит 101,2%, который будет определяться ростом потребительского спроса, связанным с увеличением объемов поставок природного газа в 1,7 р.,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2,5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незначительно улучшится с (-) 55,9% в 2017 году до (-) 53,9% в 2018 году.</w:t>
      </w:r>
    </w:p>
    <w:p>
      <w:pPr>
        <w:spacing w:after="60"/>
        <w:ind w:firstLine="567"/>
        <w:jc w:val="right"/>
      </w:pPr>
      <w:r>
        <w:rPr>
          <w:rFonts w:ascii="Arial" w:cs="Arial" w:eastAsia="Arial" w:hAnsi="Arial"/>
          <w:sz w:val="24"/>
          <w:szCs w:val="24"/>
        </w:rPr>
        <w:t xml:space="preserve">Таблица 17</w:t>
      </w:r>
    </w:p>
    <w:p>
      <w:pPr>
        <w:spacing w:after="24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9"/>
        <w:gridCol w:w="1350"/>
        <w:gridCol w:w="1350"/>
      </w:tblGrid>
      <w:tr>
        <w:tc>
          <w:tcPr>
            <w:tcW w:type="dxa" w:w="74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Потребление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117,1</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115,8</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Валовые инвестиции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38,8</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38,1</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r>
      <w:tr>
        <w:tc>
          <w:tcPr>
            <w:tcW w:type="dxa" w:w="74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bl>
    <w:p>
      <w:pPr>
        <w:spacing w:after="60" w:before="120"/>
        <w:ind w:firstLine="567"/>
        <w:jc w:val="both"/>
      </w:pPr>
      <w:r>
        <w:rPr>
          <w:rFonts w:ascii="Arial" w:cs="Arial" w:eastAsia="Arial" w:hAnsi="Arial"/>
          <w:sz w:val="24"/>
          <w:szCs w:val="24"/>
        </w:rPr>
        <w:t xml:space="preserve">Прогнозируется, что в 2018 году доля частного потребления составит 99,8% от объема ВВП, темп реального роста сложится на уровне 102,8%. Частные потребительские расходы будут подкреплены прогнозируемым номинальным ростом денежных доходов населения на 7,1% за счет создания новых рабочих мест и ростом средней номинальной заработной платы на 6,9%.</w:t>
      </w:r>
    </w:p>
    <w:p>
      <w:pPr>
        <w:spacing w:after="60" w:before="200"/>
        <w:ind w:firstLine="567"/>
        <w:jc w:val="left"/>
      </w:pPr>
      <w:r>
        <w:rPr>
          <w:rFonts w:ascii="Arial" w:cs="Arial" w:eastAsia="Arial" w:hAnsi="Arial"/>
          <w:b/>
          <w:bCs/>
          <w:sz w:val="24"/>
          <w:szCs w:val="24"/>
        </w:rPr>
        <w:t xml:space="preserve">Социальная сфера</w:t>
      </w:r>
    </w:p>
    <w:p>
      <w:pPr>
        <w:spacing w:after="60"/>
        <w:ind w:firstLine="567"/>
        <w:jc w:val="both"/>
      </w:pPr>
      <w:r>
        <w:rPr>
          <w:rFonts w:ascii="Arial" w:cs="Arial" w:eastAsia="Arial" w:hAnsi="Arial"/>
          <w:sz w:val="24"/>
          <w:szCs w:val="24"/>
        </w:rPr>
        <w:t xml:space="preserve">Политика социального развития в 2018 году,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Для реализации данных целей будет проводиться работа по приоритетным направлениям:</w:t>
      </w:r>
    </w:p>
    <w:p>
      <w:pPr>
        <w:spacing w:after="60"/>
        <w:ind w:firstLine="567"/>
        <w:jc w:val="both"/>
      </w:pPr>
      <w:r>
        <w:rPr>
          <w:rFonts w:ascii="Arial" w:cs="Arial" w:eastAsia="Arial" w:hAnsi="Arial"/>
          <w:sz w:val="24"/>
          <w:szCs w:val="24"/>
        </w:rPr>
        <w:t xml:space="preserve">- повышение уровня социальной защиты малообеспеченных семей;</w:t>
      </w:r>
    </w:p>
    <w:p>
      <w:pPr>
        <w:spacing w:after="60"/>
        <w:ind w:firstLine="567"/>
        <w:jc w:val="both"/>
      </w:pPr>
      <w:r>
        <w:rPr>
          <w:rFonts w:ascii="Arial" w:cs="Arial" w:eastAsia="Arial" w:hAnsi="Arial"/>
          <w:sz w:val="24"/>
          <w:szCs w:val="24"/>
        </w:rPr>
        <w:t xml:space="preserve">- повышение эффективности мер по оказанию содействия в трудоустройстве безработных, в том числе уязвимых граждан;</w:t>
      </w:r>
    </w:p>
    <w:p>
      <w:pPr>
        <w:spacing w:after="60"/>
        <w:ind w:firstLine="567"/>
        <w:jc w:val="both"/>
      </w:pPr>
      <w:r>
        <w:rPr>
          <w:rFonts w:ascii="Arial" w:cs="Arial" w:eastAsia="Arial" w:hAnsi="Arial"/>
          <w:sz w:val="24"/>
          <w:szCs w:val="24"/>
        </w:rPr>
        <w:t xml:space="preserve">- обеспечение уязвимых групп населения социальными выплатами и услугами;</w:t>
      </w:r>
    </w:p>
    <w:p>
      <w:pPr>
        <w:spacing w:after="60"/>
        <w:ind w:firstLine="567"/>
        <w:jc w:val="both"/>
      </w:pPr>
      <w:r>
        <w:rPr>
          <w:rFonts w:ascii="Arial" w:cs="Arial" w:eastAsia="Arial" w:hAnsi="Arial"/>
          <w:sz w:val="24"/>
          <w:szCs w:val="24"/>
        </w:rPr>
        <w:t xml:space="preserve">- усиление механизмов своевременного выявления и сопровождения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оказание содействия в развитии и повышении качества социальных услуг для социально незащищенных категорий граждан (детей и семей, находящихся в трудной жизненной ситуации, лиц с ограниченными возможностями здоровья (ЛОВЗ), пожилых граждан, женщин в период беременности и родов), особенно на местном уровне;</w:t>
      </w:r>
    </w:p>
    <w:p>
      <w:pPr>
        <w:spacing w:after="60"/>
        <w:ind w:firstLine="567"/>
        <w:jc w:val="both"/>
      </w:pPr>
      <w:r>
        <w:rPr>
          <w:rFonts w:ascii="Arial" w:cs="Arial" w:eastAsia="Arial" w:hAnsi="Arial"/>
          <w:sz w:val="24"/>
          <w:szCs w:val="24"/>
        </w:rPr>
        <w:t xml:space="preserve">- усиление адресности ЕПМС через автоматизацию системы назначения ЕПМС и внедрение механизмов, обеспечивающих прозрачность по определению нуждаемости и списков получателей на уровне каждого населенного пункта.</w:t>
      </w:r>
    </w:p>
    <w:p>
      <w:pPr>
        <w:spacing w:after="60"/>
        <w:ind w:firstLine="567"/>
        <w:jc w:val="both"/>
      </w:pPr>
      <w:r>
        <w:rPr>
          <w:rFonts w:ascii="Arial" w:cs="Arial" w:eastAsia="Arial" w:hAnsi="Arial"/>
          <w:sz w:val="24"/>
          <w:szCs w:val="24"/>
        </w:rPr>
        <w:t xml:space="preserve">Предлагаемые меры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также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(далее - Программа до 2020 года).</w:t>
      </w:r>
    </w:p>
    <w:p>
      <w:pPr>
        <w:spacing w:after="60"/>
        <w:ind w:firstLine="567"/>
        <w:jc w:val="both"/>
      </w:pPr>
      <w:r>
        <w:rPr>
          <w:rFonts w:ascii="Arial" w:cs="Arial" w:eastAsia="Arial" w:hAnsi="Arial"/>
          <w:sz w:val="24"/>
          <w:szCs w:val="24"/>
        </w:rPr>
        <w:t xml:space="preserve">Основной целью Программы до 2020 года является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Вышеуказанные цели будут достигнуты в результате реализации конкретных задач по основным направлениям:</w:t>
      </w:r>
    </w:p>
    <w:p>
      <w:pPr>
        <w:spacing w:after="60"/>
        <w:ind w:firstLine="567"/>
        <w:jc w:val="both"/>
      </w:pPr>
      <w:r>
        <w:rPr>
          <w:rFonts w:ascii="Arial" w:cs="Arial" w:eastAsia="Arial" w:hAnsi="Arial"/>
          <w:sz w:val="24"/>
          <w:szCs w:val="24"/>
        </w:rPr>
        <w:t xml:space="preserve">- разработка и принятие нормативных правовых актов, направленных на содействие занятости и регулирование внутренней и внешней трудовой миграции;</w:t>
      </w:r>
    </w:p>
    <w:p>
      <w:pPr>
        <w:spacing w:after="60"/>
        <w:ind w:firstLine="567"/>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w:t>
      </w:r>
    </w:p>
    <w:p>
      <w:pPr>
        <w:spacing w:after="60"/>
        <w:ind w:firstLine="567"/>
        <w:jc w:val="both"/>
      </w:pPr>
      <w:r>
        <w:rPr>
          <w:rFonts w:ascii="Arial" w:cs="Arial" w:eastAsia="Arial" w:hAnsi="Arial"/>
          <w:sz w:val="24"/>
          <w:szCs w:val="24"/>
        </w:rPr>
        <w:t xml:space="preserve">- усиление активных мер содействия занятости на рынке труда;</w:t>
      </w:r>
    </w:p>
    <w:p>
      <w:pPr>
        <w:spacing w:after="60"/>
        <w:ind w:firstLine="567"/>
        <w:jc w:val="both"/>
      </w:pPr>
      <w:r>
        <w:rPr>
          <w:rFonts w:ascii="Arial" w:cs="Arial" w:eastAsia="Arial" w:hAnsi="Arial"/>
          <w:sz w:val="24"/>
          <w:szCs w:val="24"/>
        </w:rPr>
        <w:t xml:space="preserve">- совершенствование системы анализа и прогноза рынка труда и т.д.</w:t>
      </w:r>
    </w:p>
    <w:p>
      <w:pPr>
        <w:spacing w:after="60"/>
        <w:ind w:firstLine="567"/>
        <w:jc w:val="both"/>
      </w:pPr>
      <w:r>
        <w:rPr>
          <w:rFonts w:ascii="Arial" w:cs="Arial" w:eastAsia="Arial" w:hAnsi="Arial"/>
          <w:sz w:val="24"/>
          <w:szCs w:val="24"/>
        </w:rPr>
        <w:t xml:space="preserve">В сфере пенсионного обеспечения в 2018 году стоят задачи по обеспечению финансовой устойчивости пенсионной системы и повышению пенсий по государственному социальному страхованию.</w:t>
      </w:r>
    </w:p>
    <w:p>
      <w:pPr>
        <w:spacing w:after="60"/>
        <w:ind w:firstLine="567"/>
        <w:jc w:val="both"/>
      </w:pPr>
      <w:r>
        <w:rPr>
          <w:rFonts w:ascii="Arial" w:cs="Arial" w:eastAsia="Arial" w:hAnsi="Arial"/>
          <w:sz w:val="24"/>
          <w:szCs w:val="24"/>
        </w:rPr>
        <w:t xml:space="preserve">Для достижения поставленных целей предусматривается решение следующих задач:</w:t>
      </w:r>
    </w:p>
    <w:p>
      <w:pPr>
        <w:spacing w:after="60"/>
        <w:ind w:firstLine="567"/>
        <w:jc w:val="both"/>
      </w:pPr>
      <w:r>
        <w:rPr>
          <w:rFonts w:ascii="Arial" w:cs="Arial" w:eastAsia="Arial" w:hAnsi="Arial"/>
          <w:sz w:val="24"/>
          <w:szCs w:val="24"/>
        </w:rPr>
        <w:t xml:space="preserve">- совершенствование системы государственного пенсионного страхования;</w:t>
      </w:r>
    </w:p>
    <w:p>
      <w:pPr>
        <w:spacing w:after="60"/>
        <w:ind w:firstLine="567"/>
        <w:jc w:val="both"/>
      </w:pPr>
      <w:r>
        <w:rPr>
          <w:rFonts w:ascii="Arial" w:cs="Arial" w:eastAsia="Arial" w:hAnsi="Arial"/>
          <w:sz w:val="24"/>
          <w:szCs w:val="24"/>
        </w:rPr>
        <w:t xml:space="preserve">- развитие инфраструктуры системы пенсионного страхования;</w:t>
      </w:r>
    </w:p>
    <w:p>
      <w:pPr>
        <w:spacing w:after="60"/>
        <w:ind w:firstLine="567"/>
        <w:jc w:val="both"/>
      </w:pPr>
      <w:r>
        <w:rPr>
          <w:rFonts w:ascii="Arial" w:cs="Arial" w:eastAsia="Arial" w:hAnsi="Arial"/>
          <w:sz w:val="24"/>
          <w:szCs w:val="24"/>
        </w:rPr>
        <w:t xml:space="preserve">- повышение надежности негосударственного пенсионного страхования.</w:t>
      </w:r>
    </w:p>
    <w:p>
      <w:pPr>
        <w:spacing w:after="60"/>
        <w:ind w:firstLine="567"/>
        <w:jc w:val="both"/>
      </w:pPr>
      <w:r>
        <w:rPr>
          <w:rFonts w:ascii="Arial" w:cs="Arial" w:eastAsia="Arial" w:hAnsi="Arial"/>
          <w:sz w:val="24"/>
          <w:szCs w:val="24"/>
        </w:rPr>
        <w:t xml:space="preserve">Пенсионная система должна более полно учитывать изменившиеся экономические и социальные условия работающего населения; разнообразие форм собственности и трудовой деятельности.</w:t>
      </w:r>
    </w:p>
    <w:p>
      <w:pPr>
        <w:spacing w:after="60"/>
        <w:ind w:firstLine="567"/>
        <w:jc w:val="both"/>
      </w:pPr>
      <w:r>
        <w:rPr>
          <w:rFonts w:ascii="Arial" w:cs="Arial" w:eastAsia="Arial" w:hAnsi="Arial"/>
          <w:sz w:val="24"/>
          <w:szCs w:val="24"/>
        </w:rPr>
        <w:t xml:space="preserve">Повышение пенсий будет производиться с учетом финансовых возможностей бюджета Социального фонда Кыргызской Республики и республиканского бюджета.</w:t>
      </w:r>
    </w:p>
    <w:p>
      <w:pPr>
        <w:spacing w:after="60"/>
        <w:ind w:firstLine="567"/>
        <w:jc w:val="both"/>
      </w:pPr>
      <w:r>
        <w:rPr>
          <w:rFonts w:ascii="Arial" w:cs="Arial" w:eastAsia="Arial" w:hAnsi="Arial"/>
          <w:sz w:val="24"/>
          <w:szCs w:val="24"/>
        </w:rPr>
        <w:t xml:space="preserve">Миграционная политика в 2018 году будет сконцентрирована на следующих основных направлениях:</w:t>
      </w:r>
    </w:p>
    <w:p>
      <w:pPr>
        <w:spacing w:after="60"/>
        <w:ind w:firstLine="567"/>
        <w:jc w:val="both"/>
      </w:pPr>
      <w:r>
        <w:rPr>
          <w:rFonts w:ascii="Arial" w:cs="Arial" w:eastAsia="Arial" w:hAnsi="Arial"/>
          <w:sz w:val="24"/>
          <w:szCs w:val="24"/>
        </w:rPr>
        <w:t xml:space="preserve">- противодействие незаконному привлечению использования работодателями труда мигрантов;</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упрощение выдачи разрешений на привлечение иностранной высококвалифицированной рабочей силы и обеспечение прозрачности рассмотрения выдачи разрешения.</w:t>
      </w:r>
    </w:p>
    <w:p>
      <w:pPr>
        <w:spacing w:after="60"/>
        <w:ind w:firstLine="567"/>
        <w:jc w:val="both"/>
      </w:pPr>
      <w:r>
        <w:rPr>
          <w:rFonts w:ascii="Arial" w:cs="Arial" w:eastAsia="Arial" w:hAnsi="Arial"/>
          <w:sz w:val="24"/>
          <w:szCs w:val="24"/>
        </w:rPr>
        <w:t xml:space="preserve">Приоритетными направлениями в здравоохранении на 2018 год являются:</w:t>
      </w:r>
    </w:p>
    <w:p>
      <w:pPr>
        <w:spacing w:after="60"/>
        <w:ind w:firstLine="567"/>
        <w:jc w:val="both"/>
      </w:pPr>
      <w:r>
        <w:rPr>
          <w:rFonts w:ascii="Arial" w:cs="Arial" w:eastAsia="Arial" w:hAnsi="Arial"/>
          <w:sz w:val="24"/>
          <w:szCs w:val="24"/>
        </w:rPr>
        <w:t xml:space="preserve">- решение задач по адаптации глобальных Целей устойчивого развития (ЦУР) по вопросам здоровья человека и продвижения инициатив по их гармонизации с долгосрочными приоритетами развития Кыргызской Республики до 2030 года;</w:t>
      </w:r>
    </w:p>
    <w:p>
      <w:pPr>
        <w:spacing w:after="60"/>
        <w:ind w:firstLine="567"/>
        <w:jc w:val="both"/>
      </w:pPr>
      <w:r>
        <w:rPr>
          <w:rFonts w:ascii="Arial" w:cs="Arial" w:eastAsia="Arial" w:hAnsi="Arial"/>
          <w:sz w:val="24"/>
          <w:szCs w:val="24"/>
        </w:rPr>
        <w:t xml:space="preserve">- продолжение мероприятий по повышению качества оказания медицинских услуг, внедрение механизмов поощрения медицинских работников за улучшение качества медицинской помощи;</w:t>
      </w:r>
    </w:p>
    <w:p>
      <w:pPr>
        <w:spacing w:after="60"/>
        <w:ind w:firstLine="567"/>
        <w:jc w:val="both"/>
      </w:pPr>
      <w:r>
        <w:rPr>
          <w:rFonts w:ascii="Arial" w:cs="Arial" w:eastAsia="Arial" w:hAnsi="Arial"/>
          <w:sz w:val="24"/>
          <w:szCs w:val="24"/>
        </w:rPr>
        <w:t xml:space="preserve">- повышение эффективности использования ресурсов, развитие первичной медико-санитарной службы;</w:t>
      </w:r>
    </w:p>
    <w:p>
      <w:pPr>
        <w:spacing w:after="60"/>
        <w:ind w:firstLine="567"/>
        <w:jc w:val="both"/>
      </w:pPr>
      <w:r>
        <w:rPr>
          <w:rFonts w:ascii="Arial" w:cs="Arial" w:eastAsia="Arial" w:hAnsi="Arial"/>
          <w:sz w:val="24"/>
          <w:szCs w:val="24"/>
        </w:rPr>
        <w:t xml:space="preserve">- развитие всех видов страхования, в том числе добровольного медицинского страхования, увеличение охвата населения медицинским страхованием;</w:t>
      </w:r>
    </w:p>
    <w:p>
      <w:pPr>
        <w:spacing w:after="60"/>
        <w:ind w:firstLine="567"/>
        <w:jc w:val="both"/>
      </w:pPr>
      <w:r>
        <w:rPr>
          <w:rFonts w:ascii="Arial" w:cs="Arial" w:eastAsia="Arial" w:hAnsi="Arial"/>
          <w:sz w:val="24"/>
          <w:szCs w:val="24"/>
        </w:rPr>
        <w:t xml:space="preserve">- повышение эффективности деятельности службы общественного здравоохранения, включая усиление государственного надзора за объектами водоснабжения и снижение уровня заболеваний, связанных с безопасностью продуктов питания;</w:t>
      </w:r>
    </w:p>
    <w:p>
      <w:pPr>
        <w:spacing w:after="60"/>
        <w:ind w:firstLine="567"/>
        <w:jc w:val="both"/>
      </w:pPr>
      <w:r>
        <w:rPr>
          <w:rFonts w:ascii="Arial" w:cs="Arial" w:eastAsia="Arial" w:hAnsi="Arial"/>
          <w:sz w:val="24"/>
          <w:szCs w:val="24"/>
        </w:rPr>
        <w:t xml:space="preserve">- обеспечение качества, безопасности и эффективности лекарственных средств и изделий медицинского назначения;</w:t>
      </w:r>
    </w:p>
    <w:p>
      <w:pPr>
        <w:spacing w:after="60"/>
        <w:ind w:firstLine="567"/>
        <w:jc w:val="both"/>
      </w:pPr>
      <w:r>
        <w:rPr>
          <w:rFonts w:ascii="Arial" w:cs="Arial" w:eastAsia="Arial" w:hAnsi="Arial"/>
          <w:sz w:val="24"/>
          <w:szCs w:val="24"/>
        </w:rPr>
        <w:t xml:space="preserve">- повышение качества подготовки медицинских специалистов, внедрение мер по стимулированию закрепления врачей в сельских и отдаленных регионах;</w:t>
      </w:r>
    </w:p>
    <w:p>
      <w:pPr>
        <w:spacing w:after="60"/>
        <w:ind w:firstLine="567"/>
        <w:jc w:val="both"/>
      </w:pPr>
      <w:r>
        <w:rPr>
          <w:rFonts w:ascii="Arial" w:cs="Arial" w:eastAsia="Arial" w:hAnsi="Arial"/>
          <w:sz w:val="24"/>
          <w:szCs w:val="24"/>
        </w:rPr>
        <w:t xml:space="preserve">- реализация механизмов государственно-частного партнерства в секторе здравоохранения;</w:t>
      </w:r>
    </w:p>
    <w:p>
      <w:pPr>
        <w:spacing w:after="60"/>
        <w:ind w:firstLine="567"/>
        <w:jc w:val="both"/>
      </w:pPr>
      <w:r>
        <w:rPr>
          <w:rFonts w:ascii="Arial" w:cs="Arial" w:eastAsia="Arial" w:hAnsi="Arial"/>
          <w:sz w:val="24"/>
          <w:szCs w:val="24"/>
        </w:rPr>
        <w:t xml:space="preserve">- улучшение инфраструктуры организаций здравоохранения с необходимым доступом к чистой воде и канализации, непрерывным электро- и теплоснабжением;</w:t>
      </w:r>
    </w:p>
    <w:p>
      <w:pPr>
        <w:spacing w:after="60"/>
        <w:ind w:firstLine="567"/>
        <w:jc w:val="both"/>
      </w:pPr>
      <w:r>
        <w:rPr>
          <w:rFonts w:ascii="Arial" w:cs="Arial" w:eastAsia="Arial" w:hAnsi="Arial"/>
          <w:sz w:val="24"/>
          <w:szCs w:val="24"/>
        </w:rPr>
        <w:t xml:space="preserve">- усиление межсекторального взаимодействия и вовлечение других секторов (образование, социальная защита, органы местного самоуправления, сельское хозяйство, ветеринарная служба), а также гражданского и бизнес-сообществ в реализацию эффективных программ, направленных на укрепление и охрану здоровья населения.</w:t>
      </w:r>
    </w:p>
    <w:p>
      <w:pPr>
        <w:spacing w:after="60"/>
        <w:ind w:firstLine="567"/>
        <w:jc w:val="both"/>
      </w:pPr>
      <w:r>
        <w:rPr>
          <w:rFonts w:ascii="Arial" w:cs="Arial" w:eastAsia="Arial" w:hAnsi="Arial"/>
          <w:sz w:val="24"/>
          <w:szCs w:val="24"/>
        </w:rPr>
        <w:t xml:space="preserve">Основное внимание в сфере образования будет направлено на выполнение следующих задач:</w:t>
      </w:r>
    </w:p>
    <w:p>
      <w:pPr>
        <w:spacing w:after="60"/>
        <w:ind w:firstLine="567"/>
        <w:jc w:val="both"/>
      </w:pPr>
      <w:r>
        <w:rPr>
          <w:rFonts w:ascii="Arial" w:cs="Arial" w:eastAsia="Arial" w:hAnsi="Arial"/>
          <w:sz w:val="24"/>
          <w:szCs w:val="24"/>
        </w:rPr>
        <w:t xml:space="preserve">- охват программами развития и обучения большинства детей предшкольного возраста;</w:t>
      </w:r>
    </w:p>
    <w:p>
      <w:pPr>
        <w:spacing w:after="60"/>
        <w:ind w:firstLine="567"/>
        <w:jc w:val="both"/>
      </w:pPr>
      <w:r>
        <w:rPr>
          <w:rFonts w:ascii="Arial" w:cs="Arial" w:eastAsia="Arial" w:hAnsi="Arial"/>
          <w:sz w:val="24"/>
          <w:szCs w:val="24"/>
        </w:rPr>
        <w:t xml:space="preserve">-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60"/>
        <w:ind w:firstLine="567"/>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60"/>
        <w:ind w:firstLine="567"/>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60"/>
        <w:ind w:firstLine="567"/>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60"/>
        <w:ind w:firstLine="567"/>
        <w:jc w:val="both"/>
      </w:pPr>
      <w:r>
        <w:rPr>
          <w:rFonts w:ascii="Arial" w:cs="Arial" w:eastAsia="Arial" w:hAnsi="Arial"/>
          <w:sz w:val="24"/>
          <w:szCs w:val="24"/>
        </w:rPr>
        <w:t xml:space="preserve">- развитие базы данных для информационного обеспечения образования и науки;</w:t>
      </w:r>
    </w:p>
    <w:p>
      <w:pPr>
        <w:spacing w:after="60"/>
        <w:ind w:firstLine="567"/>
        <w:jc w:val="both"/>
      </w:pPr>
      <w:r>
        <w:rPr>
          <w:rFonts w:ascii="Arial" w:cs="Arial" w:eastAsia="Arial" w:hAnsi="Arial"/>
          <w:sz w:val="24"/>
          <w:szCs w:val="24"/>
        </w:rPr>
        <w:t xml:space="preserve">- создание системы стратегического планирования и управления в сфере науки;</w:t>
      </w:r>
    </w:p>
    <w:p>
      <w:pPr>
        <w:spacing w:after="60"/>
        <w:ind w:firstLine="567"/>
        <w:jc w:val="both"/>
      </w:pPr>
      <w:r>
        <w:rPr>
          <w:rFonts w:ascii="Arial" w:cs="Arial" w:eastAsia="Arial" w:hAnsi="Arial"/>
          <w:sz w:val="24"/>
          <w:szCs w:val="24"/>
        </w:rPr>
        <w:t xml:space="preserve">- совершенствование законодательной, нормативной и правовой базы науки;</w:t>
      </w:r>
    </w:p>
    <w:p>
      <w:pPr>
        <w:spacing w:after="60"/>
        <w:ind w:firstLine="567"/>
        <w:jc w:val="both"/>
      </w:pPr>
      <w:r>
        <w:rPr>
          <w:rFonts w:ascii="Arial" w:cs="Arial" w:eastAsia="Arial" w:hAnsi="Arial"/>
          <w:sz w:val="24"/>
          <w:szCs w:val="24"/>
        </w:rPr>
        <w:t xml:space="preserve">- развитие системы стратегического планирования и управления в секторе образования, основанной на технологиях сбора и анализа информации;</w:t>
      </w:r>
    </w:p>
    <w:p>
      <w:pPr>
        <w:spacing w:after="60"/>
        <w:ind w:firstLine="567"/>
        <w:jc w:val="both"/>
      </w:pPr>
      <w:r>
        <w:rPr>
          <w:rFonts w:ascii="Arial" w:cs="Arial" w:eastAsia="Arial" w:hAnsi="Arial"/>
          <w:sz w:val="24"/>
          <w:szCs w:val="24"/>
        </w:rPr>
        <w:t xml:space="preserve">- внедрение системы мониторинга и качества образования.</w:t>
      </w:r>
    </w:p>
    <w:p>
      <w:pPr>
        <w:spacing w:after="60"/>
        <w:ind w:firstLine="567"/>
        <w:jc w:val="both"/>
      </w:pPr>
      <w:r>
        <w:rPr>
          <w:rFonts w:ascii="Arial" w:cs="Arial" w:eastAsia="Arial" w:hAnsi="Arial"/>
          <w:sz w:val="24"/>
          <w:szCs w:val="24"/>
        </w:rPr>
        <w:t xml:space="preserve">Молодежная политика будет направлена на решение следующих задач:</w:t>
      </w:r>
    </w:p>
    <w:p>
      <w:pPr>
        <w:spacing w:after="60"/>
        <w:ind w:firstLine="567"/>
        <w:jc w:val="both"/>
      </w:pPr>
      <w:r>
        <w:rPr>
          <w:rFonts w:ascii="Arial" w:cs="Arial" w:eastAsia="Arial" w:hAnsi="Arial"/>
          <w:sz w:val="24"/>
          <w:szCs w:val="24"/>
        </w:rPr>
        <w:t xml:space="preserve">- создание благоприятных условий для общественной, социальной и экономической самореализации и всестороннего развития нового поколения молодых кыргызстанцев;</w:t>
      </w:r>
    </w:p>
    <w:p>
      <w:pPr>
        <w:spacing w:after="60"/>
        <w:ind w:firstLine="567"/>
        <w:jc w:val="both"/>
      </w:pPr>
      <w:r>
        <w:rPr>
          <w:rFonts w:ascii="Arial" w:cs="Arial" w:eastAsia="Arial" w:hAnsi="Arial"/>
          <w:sz w:val="24"/>
          <w:szCs w:val="24"/>
        </w:rPr>
        <w:t xml:space="preserve">- обеспечение равного доступа молодежи к государственным и муниципальным услугам;</w:t>
      </w:r>
    </w:p>
    <w:p>
      <w:pPr>
        <w:spacing w:after="60"/>
        <w:ind w:firstLine="567"/>
        <w:jc w:val="both"/>
      </w:pPr>
      <w:r>
        <w:rPr>
          <w:rFonts w:ascii="Arial" w:cs="Arial" w:eastAsia="Arial" w:hAnsi="Arial"/>
          <w:sz w:val="24"/>
          <w:szCs w:val="24"/>
        </w:rPr>
        <w:t xml:space="preserve">- расширение активного участия молодежи в процессе подготовки и принятия решений;</w:t>
      </w:r>
    </w:p>
    <w:p>
      <w:pPr>
        <w:spacing w:after="60"/>
        <w:ind w:firstLine="567"/>
        <w:jc w:val="both"/>
      </w:pPr>
      <w:r>
        <w:rPr>
          <w:rFonts w:ascii="Arial" w:cs="Arial" w:eastAsia="Arial" w:hAnsi="Arial"/>
          <w:sz w:val="24"/>
          <w:szCs w:val="24"/>
        </w:rPr>
        <w:t xml:space="preserve">- повышение эффективности системы управления в сфере молодежной политики.</w:t>
      </w:r>
    </w:p>
    <w:p>
      <w:pPr>
        <w:spacing w:after="60"/>
        <w:ind w:firstLine="567"/>
        <w:jc w:val="both"/>
      </w:pPr>
      <w:r>
        <w:rPr>
          <w:rFonts w:ascii="Arial" w:cs="Arial" w:eastAsia="Arial" w:hAnsi="Arial"/>
          <w:sz w:val="24"/>
          <w:szCs w:val="24"/>
        </w:rPr>
        <w:t xml:space="preserve">В отрасли физической культуры и спорта усилия будут направлены на повышение массовости занятий физической культурой и спортом. В этой связи в 2018 году будут разработаны нормативные основы физического воспитания для всех возрастных групп населения Кыргызской Республики, продолжится работа по повышению качества предоставляемых государственных услуг, расширению возможностей для привлечения бизнеса в создание спортивной инфраструктуры через механизм государственно-частного партнерства, повышение мотивации населения к занятиям физической культурой и спортом.</w:t>
      </w:r>
    </w:p>
    <w:p>
      <w:pPr>
        <w:spacing w:after="60"/>
        <w:ind w:firstLine="567"/>
        <w:jc w:val="both"/>
      </w:pPr>
      <w:r>
        <w:rPr>
          <w:rFonts w:ascii="Arial" w:cs="Arial" w:eastAsia="Arial" w:hAnsi="Arial"/>
          <w:sz w:val="24"/>
          <w:szCs w:val="24"/>
        </w:rPr>
        <w:t xml:space="preserve">Учитывая прогнозируемые параметры развития экономики в 2018 году, социальные показатели будут складываться следующим образом.</w:t>
      </w:r>
    </w:p>
    <w:p>
      <w:pPr>
        <w:spacing w:after="60"/>
        <w:ind w:firstLine="567"/>
        <w:jc w:val="both"/>
      </w:pPr>
      <w:r>
        <w:rPr>
          <w:rFonts w:ascii="Arial" w:cs="Arial" w:eastAsia="Arial" w:hAnsi="Arial"/>
          <w:sz w:val="24"/>
          <w:szCs w:val="24"/>
        </w:rPr>
        <w:t xml:space="preserve">Объем ВВП на душу населения увеличится относительно 2017 года с 83,2 тыс. сомов до 88,8 тыс. сомов, или на 6,8%.</w:t>
      </w:r>
    </w:p>
    <w:p>
      <w:pPr>
        <w:spacing w:after="60"/>
        <w:ind w:firstLine="567"/>
        <w:jc w:val="both"/>
      </w:pPr>
      <w:r>
        <w:rPr>
          <w:rFonts w:ascii="Arial" w:cs="Arial" w:eastAsia="Arial" w:hAnsi="Arial"/>
          <w:sz w:val="24"/>
          <w:szCs w:val="24"/>
        </w:rPr>
        <w:t xml:space="preserve">С учетом прогнозируемого роста потребительских цен реальный темп прироста денежных доходов составит 2,4%. В структуре денежных доходов прогнозируется увеличение заработной платы, где номинальный размер возрастет на 6,9% и составит 16577,8 сома, а в реальном выражении увеличится на 2,3%.</w:t>
      </w:r>
    </w:p>
    <w:p>
      <w:pPr>
        <w:spacing w:after="60"/>
        <w:ind w:firstLine="567"/>
        <w:jc w:val="both"/>
      </w:pPr>
      <w:r>
        <w:rPr>
          <w:rFonts w:ascii="Arial" w:cs="Arial" w:eastAsia="Arial" w:hAnsi="Arial"/>
          <w:sz w:val="24"/>
          <w:szCs w:val="24"/>
        </w:rPr>
        <w:t xml:space="preserve">В области пенсионного обеспечения, в прогнозе заложено увеличение номинального размера средней пенсии почти на 3,9%, с учетом повышения базовой части пенсии, который составит 5561,0 сом. Прожиточный минимум прогнозируется в размере 5185,4 сома.</w:t>
      </w:r>
    </w:p>
    <w:p>
      <w:pPr>
        <w:spacing w:after="60"/>
        <w:ind w:firstLine="567"/>
        <w:jc w:val="both"/>
      </w:pPr>
      <w:r>
        <w:rPr>
          <w:rFonts w:ascii="Arial" w:cs="Arial" w:eastAsia="Arial" w:hAnsi="Arial"/>
          <w:sz w:val="24"/>
          <w:szCs w:val="24"/>
        </w:rPr>
        <w:t xml:space="preserve">В результате экономического развития в 2018 году прогнозируется создание 70,0 тыс. рабочих мест, уровень безработицы - на уровне 7,3%.</w:t>
      </w:r>
    </w:p>
    <w:p>
      <w:pPr>
        <w:spacing w:after="60"/>
        <w:ind w:firstLine="567"/>
        <w:jc w:val="both"/>
      </w:pPr>
      <w:r>
        <w:rPr>
          <w:rFonts w:ascii="Arial" w:cs="Arial" w:eastAsia="Arial" w:hAnsi="Arial"/>
          <w:sz w:val="24"/>
          <w:szCs w:val="24"/>
        </w:rPr>
        <w:t xml:space="preserve">Уровень бедности прогнозируется на уровне 31,7% и снизится на 0,4 процентного пункта относительно фактически сложившегося уровня в 2015 году - 32,1%.</w:t>
      </w:r>
    </w:p>
    <w:p>
      <w:pPr>
        <w:spacing w:after="200" w:before="200"/>
        <w:jc w:val="center"/>
      </w:pPr>
      <w:r>
        <w:rPr>
          <w:rFonts w:ascii="Arial" w:cs="Arial" w:eastAsia="Arial" w:hAnsi="Arial"/>
          <w:b/>
          <w:bCs/>
          <w:sz w:val="24"/>
          <w:szCs w:val="24"/>
        </w:rPr>
        <w:t xml:space="preserve">7. Макроэкономический прогноз на 2019-2020 годы</w:t>
      </w:r>
    </w:p>
    <w:p>
      <w:pPr>
        <w:spacing w:after="60"/>
        <w:ind w:firstLine="567"/>
        <w:jc w:val="both"/>
      </w:pPr>
      <w:r>
        <w:rPr>
          <w:rFonts w:ascii="Arial" w:cs="Arial" w:eastAsia="Arial" w:hAnsi="Arial"/>
          <w:sz w:val="24"/>
          <w:szCs w:val="24"/>
        </w:rPr>
        <w:t xml:space="preserve">В 2019-2020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w:t>
      </w:r>
    </w:p>
    <w:p>
      <w:pPr>
        <w:spacing w:after="240" w:before="240"/>
        <w:ind w:firstLine="567"/>
        <w:jc w:val="right"/>
      </w:pPr>
      <w:r>
        <w:rPr>
          <w:rFonts w:ascii="Arial" w:cs="Arial" w:eastAsia="Arial" w:hAnsi="Arial"/>
          <w:sz w:val="24"/>
          <w:szCs w:val="24"/>
        </w:rPr>
        <w:t xml:space="preserve">Таблица 18</w:t>
      </w:r>
    </w:p>
    <w:p>
      <w:pPr>
        <w:spacing w:after="240" w:before="200"/>
        <w:jc w:val="center"/>
      </w:pPr>
      <w:r>
        <w:rPr>
          <w:rFonts w:ascii="Arial" w:cs="Arial" w:eastAsia="Arial" w:hAnsi="Arial"/>
          <w:b/>
          <w:bCs/>
          <w:sz w:val="32"/>
          <w:szCs w:val="32"/>
        </w:rPr>
        <w:t xml:space="preserve">Реальные вклады секторов производства ВВП на 2019-2020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997"/>
        <w:gridCol w:w="997"/>
        <w:gridCol w:w="2264"/>
        <w:gridCol w:w="2099"/>
        <w:gridCol w:w="2172"/>
      </w:tblGrid>
      <w:tr>
        <w:tc>
          <w:tcPr>
            <w:tcW w:type="dxa" w:w="16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прогноз</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2019-2020 годы</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2019-2020 годы</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2019-2020 годы</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0,99</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50,88</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2017 году и прогнозируемых показателей на 2018 год, среднегодовой реальный рост ВВП на 2019-2020 годы прогнозируется на уровне 5,0%.</w:t>
      </w:r>
    </w:p>
    <w:p>
      <w:pPr>
        <w:spacing w:after="60"/>
        <w:ind w:firstLine="567"/>
        <w:jc w:val="both"/>
      </w:pPr>
      <w:r>
        <w:rPr>
          <w:rFonts w:ascii="Arial" w:cs="Arial" w:eastAsia="Arial" w:hAnsi="Arial"/>
          <w:sz w:val="24"/>
          <w:szCs w:val="24"/>
        </w:rPr>
        <w:t xml:space="preserve">В секторальном разрезе в 2019-2020 годах прогнозируемые среднегодовые темпы прироста составят: в сельском хозяйстве - 3,0%, в промышленности - 6,9%, в строительстве - 10,5%, в сфере предоставления услуг - 3,9%.</w:t>
      </w:r>
    </w:p>
    <w:p>
      <w:pPr>
        <w:spacing w:after="60"/>
        <w:ind w:firstLine="567"/>
        <w:jc w:val="both"/>
      </w:pPr>
      <w:r>
        <w:rPr>
          <w:rFonts w:ascii="Arial" w:cs="Arial" w:eastAsia="Arial" w:hAnsi="Arial"/>
          <w:sz w:val="24"/>
          <w:szCs w:val="24"/>
        </w:rPr>
        <w:t xml:space="preserve">На 2019-2020 годы рост ВВП прогнозируется в основном за счет Чуйской, Джалал-Абадской, Иссык-Кульской, Ошской областей и гор. Бишкек.</w:t>
      </w:r>
    </w:p>
    <w:p>
      <w:pPr>
        <w:spacing w:after="60"/>
        <w:ind w:firstLine="567"/>
        <w:jc w:val="both"/>
      </w:pPr>
      <w:r>
        <w:rPr>
          <w:rFonts w:ascii="Arial" w:cs="Arial" w:eastAsia="Arial" w:hAnsi="Arial"/>
          <w:sz w:val="24"/>
          <w:szCs w:val="24"/>
        </w:rPr>
        <w:t xml:space="preserve">В целом на период 2019-2020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В 2019-2020 годах прогнозируется увеличение реальных темпов роста сельского хозяйства в среднем на 3,0%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12,1%. Будут реализованы мероприятия для достижения реальных темпов роста сельскохозяйственной отрасли: 1) оптимизация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2) активное использование систем капельного орошения; 3) дальнейшее развитие тепличных хозяйств; 4)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5) продолжение обеспечения фермеров необходимой сельхозтехникой на льготных кредитных условиях путем закупок сельхозтехники по лизингу; 6) рациональное использование генофонда сельскохозяйственных животных и домашней птицы, повышение эффективности селекционно-племенной работы и пунктов искусственного осеменения животных с использованием ценного генетического материала; 7) увеличение объемов заготовки всех видов кормов.</w:t>
      </w:r>
    </w:p>
    <w:p>
      <w:pPr>
        <w:spacing w:after="60"/>
        <w:ind w:firstLine="567"/>
        <w:jc w:val="both"/>
      </w:pPr>
      <w:r>
        <w:rPr>
          <w:rFonts w:ascii="Arial" w:cs="Arial" w:eastAsia="Arial" w:hAnsi="Arial"/>
          <w:sz w:val="24"/>
          <w:szCs w:val="24"/>
        </w:rPr>
        <w:t xml:space="preserve">В среднесрочном периоде прогнозируется увеличение посевной площади сахарной свеклы с 17,1 тыс. га до 18,1 тыс. га, хлопка - с 18,8 тыс. га до 21,3 тыс. га, табака - с 0,4 тыс. га до 0,6 тыс. га, масличных культур - с 36,0 тыс. га до 39,0 тыс. га, овощей - с 51,4 тыс. га до 52,9 тыс. га, бахчевых - с 11,4 тыс. га до 11,9 тыс. га, что будет способствовать среднегодовому росту продукции растениеводства на уровне 3,4%.</w:t>
      </w:r>
    </w:p>
    <w:p>
      <w:pPr>
        <w:spacing w:after="60"/>
        <w:ind w:firstLine="567"/>
        <w:jc w:val="both"/>
      </w:pPr>
      <w:r>
        <w:rPr>
          <w:rFonts w:ascii="Arial" w:cs="Arial" w:eastAsia="Arial" w:hAnsi="Arial"/>
          <w:sz w:val="24"/>
          <w:szCs w:val="24"/>
        </w:rPr>
        <w:t xml:space="preserve">Возможными рисками, влияющими на показатель роста производства продукции сельского хозяйства, будут:</w:t>
      </w:r>
    </w:p>
    <w:p>
      <w:pPr>
        <w:spacing w:after="60"/>
        <w:ind w:firstLine="567"/>
        <w:jc w:val="both"/>
      </w:pPr>
      <w:r>
        <w:rPr>
          <w:rFonts w:ascii="Arial" w:cs="Arial" w:eastAsia="Arial" w:hAnsi="Arial"/>
          <w:sz w:val="24"/>
          <w:szCs w:val="24"/>
        </w:rPr>
        <w:t xml:space="preserve">- неблагоприятные природно-климатические условия (засуха, отсутствие полива);</w:t>
      </w:r>
    </w:p>
    <w:p>
      <w:pPr>
        <w:spacing w:after="60"/>
        <w:ind w:firstLine="567"/>
        <w:jc w:val="both"/>
      </w:pPr>
      <w:r>
        <w:rPr>
          <w:rFonts w:ascii="Arial" w:cs="Arial" w:eastAsia="Arial" w:hAnsi="Arial"/>
          <w:sz w:val="24"/>
          <w:szCs w:val="24"/>
        </w:rPr>
        <w:t xml:space="preserve">- недостаточная заготовка кормов на зимний период;</w:t>
      </w:r>
    </w:p>
    <w:p>
      <w:pPr>
        <w:spacing w:after="60"/>
        <w:ind w:firstLine="567"/>
        <w:jc w:val="both"/>
      </w:pPr>
      <w:r>
        <w:rPr>
          <w:rFonts w:ascii="Arial" w:cs="Arial" w:eastAsia="Arial" w:hAnsi="Arial"/>
          <w:sz w:val="24"/>
          <w:szCs w:val="24"/>
        </w:rPr>
        <w:t xml:space="preserve">- неблагоприятная эпизоотическая обстановка;</w:t>
      </w:r>
    </w:p>
    <w:p>
      <w:pPr>
        <w:spacing w:after="60"/>
        <w:ind w:firstLine="567"/>
        <w:jc w:val="both"/>
      </w:pPr>
      <w:r>
        <w:rPr>
          <w:rFonts w:ascii="Arial" w:cs="Arial" w:eastAsia="Arial" w:hAnsi="Arial"/>
          <w:sz w:val="24"/>
          <w:szCs w:val="24"/>
        </w:rPr>
        <w:t xml:space="preserve">- неэффективное использование направляемых льготных кредитных ресурсов государства;</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горюче-смазочные материалы.</w:t>
      </w:r>
    </w:p>
    <w:p>
      <w:pPr>
        <w:spacing w:after="60"/>
        <w:ind w:firstLine="567"/>
        <w:jc w:val="both"/>
      </w:pPr>
      <w:r>
        <w:rPr>
          <w:rFonts w:ascii="Arial" w:cs="Arial" w:eastAsia="Arial" w:hAnsi="Arial"/>
          <w:sz w:val="24"/>
          <w:szCs w:val="24"/>
        </w:rPr>
        <w:t xml:space="preserve">Прирост промышленного производства 2019-2020 годах прогнозируется в среднем за год на уровне 106,9%.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Кумтор, Талды-Булак Левобережный, Бозымчак, Иштамберди, Кара-Казык, Джеруй, Куру-Тегерек, выхода на проектную производственную мощность нефтеперерабатывающих заводов в городах Кара-Балта и Токмак. Прогнозируется увеличение объемов обеспечения электроэнергией, газом, паром и кондиционированным воздухом на 2,7% в среднем в год, в связи с планируемым вводом новых мощностей (2 агрегат Камбаратинской ГЭС-2 - около 100 МВт, реабилитацией Токтогульской и Атбашинской ГЭС). Реализация проектов "Строительство 2-ой очереди на подстанции 110/35/10 кВ Костромская с установкой трансформатора Т-2 мощностью 25 МВА", "Строительство новой подстанции 110/10 кВ "Медерова" с установкой двух трансформаторов мощностью 2x40 МВА", "Строительство 2-ой очереди на подстанции 220/110/10 кВ Кристалл с установкой автотрансформатора Т-2 мощностью 63 МВА", "Строительство 2-ой очереди на подстанции 110 кВ Таш-Булак с установкой трансформатора Т-2 мощностью 25 МВА", "Строительство новой ПС 110/10 кВ "Орто-Сай" с установкой двух трансформаторов мощностью по 40 МВА, города Бишкек", "Строительство новой подстанции 110/35/10 кВ "Ак Босого" с установкой двух трансформаторов мощностью по 25 МВА, города Бишкек", "Строительство второй очереди ПС 110/35/10 кВ "Токтогул" с установкой трансформатора мощностью 10 МВА", "Строительство второй очереди ПС 220/110/10 кВ "Айгуль-Таш" с установкой автотрансформатора мощностью 125 МВА", "Строительство ВЛ 220 кВ протяженностью 43 км и Строительство ВЛ-110 кВ протяженностью 50 км для выдачи мощности ВНК ГЭС, Нарынская область", "Повышение подотчетности и надежности электроснабжения" (ВБ) позволит повысить эффективность работы энергетического сектора. Выработка электроэнергии на ТЭЦ города Бишкек в 2020 году составит 1863,7 млн. кВтч и в 2018 году ожидается увеличение на 128,6 млн. кВтч.</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Всего в 2020 году поступление природного газа в Кыргызскую Республику прогнозируется в объеме 437,1 млн. м</w:t>
      </w:r>
      <w:r>
        <w:rPr>
          <w:rFonts w:ascii="Arial" w:cs="Arial" w:eastAsia="Arial" w:hAnsi="Arial"/>
          <w:sz w:val="24"/>
          <w:szCs w:val="24"/>
        </w:rPr>
        <w:t xml:space="preserve">3</w:t>
      </w:r>
      <w:r>
        <w:rPr>
          <w:rFonts w:ascii="Arial" w:cs="Arial" w:eastAsia="Arial" w:hAnsi="Arial"/>
          <w:sz w:val="24"/>
          <w:szCs w:val="24"/>
        </w:rPr>
        <w:t xml:space="preserve">, что на 23,7% больше по сравнению с 2018 годом, что позволит увеличить объем услуг по распределению газообразного топлива через системы газоснабжения в среднем в год на 6,8% в 2019-2020 годах.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2019-2020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для населения сейсмически безопасного комфортного жилья,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вводимых зданий к 2020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2019-2020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и объектов энергетики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2019-2020 годах возрастет в среднем на 13% (с 197,9 млрд. сомов в 2019 году до 229,9 млрд. сомов в 2020 году). Структура капитальных вложений, относительно прогнозируемой в 2018 году, изменится в сторону снижения доли внутренних инвестиций до 50,5% от общего объема капитальных вложений в 2020 году, и соответственно, увеличения доли внешних инвестиций до 49,5%, что связано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В строительном секторе прогнозируется темп реального прироста на уровне 10,5% в среднем за год. Влияние строительного сектора на темпы экономического роста будет положительным и составит в среднем 0,99 процентного пункта.</w:t>
      </w:r>
    </w:p>
    <w:p>
      <w:pPr>
        <w:spacing w:after="60"/>
        <w:ind w:firstLine="567"/>
        <w:jc w:val="both"/>
      </w:pPr>
      <w:r>
        <w:rPr>
          <w:rFonts w:ascii="Arial" w:cs="Arial" w:eastAsia="Arial" w:hAnsi="Arial"/>
          <w:sz w:val="24"/>
          <w:szCs w:val="24"/>
        </w:rPr>
        <w:t xml:space="preserve">В 2019-2020 годы среднегодовой рост в сфере услуг составит 104%. Данный рост будет обеспечен за счет улучшения потребительского спроса, обусловленного ростом реальных денежных доходов населения на 2,5% в среднем за год. Важным фактором останутся интеграционные механизмы в рамках ЕАЭС, улучшение внешнего спроса в соседних странах. Доля рыночных услуг, обеспечивающих рост услуг, увеличится до 73,9% в структуре сферы услуг, а темп роста в среднем за год составит 104,8%. Аналогичный показатель нерыночных услуг составит 101,5%.</w:t>
      </w:r>
    </w:p>
    <w:p>
      <w:pPr>
        <w:spacing w:after="60"/>
        <w:ind w:firstLine="567"/>
        <w:jc w:val="both"/>
      </w:pPr>
      <w:r>
        <w:rPr>
          <w:rFonts w:ascii="Arial" w:cs="Arial" w:eastAsia="Arial" w:hAnsi="Arial"/>
          <w:sz w:val="24"/>
          <w:szCs w:val="24"/>
        </w:rPr>
        <w:t xml:space="preserve">В 2019-2020 годах среднегодовой темп роста оптовой и розничной торговли; ремонта автомобилей и мотоциклов прогнозируется на уровне 106,8%. Удельный вес составит 36,7% в структуре сферы услуг и увеличится на 0,7% по сравнению с 2018 годом.</w:t>
      </w:r>
    </w:p>
    <w:p>
      <w:pPr>
        <w:spacing w:after="60"/>
        <w:ind w:firstLine="567"/>
        <w:jc w:val="both"/>
      </w:pPr>
      <w:r>
        <w:rPr>
          <w:rFonts w:ascii="Arial" w:cs="Arial" w:eastAsia="Arial" w:hAnsi="Arial"/>
          <w:sz w:val="24"/>
          <w:szCs w:val="24"/>
        </w:rPr>
        <w:t xml:space="preserve">Приоритетными направлениями развития в 2019-2020 годах будут:</w:t>
      </w:r>
    </w:p>
    <w:p>
      <w:pPr>
        <w:spacing w:after="60"/>
        <w:ind w:firstLine="567"/>
        <w:jc w:val="both"/>
      </w:pPr>
      <w:r>
        <w:rPr>
          <w:rFonts w:ascii="Arial" w:cs="Arial" w:eastAsia="Arial" w:hAnsi="Arial"/>
          <w:sz w:val="24"/>
          <w:szCs w:val="24"/>
        </w:rPr>
        <w:t xml:space="preserve">- стимулирование внутреннего спроса;</w:t>
      </w:r>
    </w:p>
    <w:p>
      <w:pPr>
        <w:spacing w:after="60"/>
        <w:ind w:firstLine="567"/>
        <w:jc w:val="both"/>
      </w:pPr>
      <w:r>
        <w:rPr>
          <w:rFonts w:ascii="Arial" w:cs="Arial" w:eastAsia="Arial" w:hAnsi="Arial"/>
          <w:sz w:val="24"/>
          <w:szCs w:val="24"/>
        </w:rPr>
        <w:t xml:space="preserve"> - дальнейшее совершенствование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 полная адаптация экспортного потенциала республики к потребностям внешних рынков, в частности государств-членов ЕАЭС.</w:t>
      </w:r>
    </w:p>
    <w:p>
      <w:pPr>
        <w:spacing w:after="60"/>
        <w:ind w:firstLine="567"/>
        <w:jc w:val="both"/>
      </w:pPr>
      <w:r>
        <w:rPr>
          <w:rFonts w:ascii="Arial" w:cs="Arial" w:eastAsia="Arial" w:hAnsi="Arial"/>
          <w:sz w:val="24"/>
          <w:szCs w:val="24"/>
        </w:rPr>
        <w:t xml:space="preserve">Доля услуг транспортной деятельности и хранения грузов составит в общем объеме услуг 10,3%, а реальный темп роста сложится на уровне 102,7%.</w:t>
      </w:r>
    </w:p>
    <w:p>
      <w:pPr>
        <w:spacing w:after="60"/>
        <w:ind w:firstLine="567"/>
        <w:jc w:val="both"/>
      </w:pPr>
      <w:r>
        <w:rPr>
          <w:rFonts w:ascii="Arial" w:cs="Arial" w:eastAsia="Arial" w:hAnsi="Arial"/>
          <w:sz w:val="24"/>
          <w:szCs w:val="24"/>
        </w:rPr>
        <w:t xml:space="preserve">Среднегодовой рост услуг связи и информации прогнозируется на уровне 101,3%, а удельный вес составит 7,0%.</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Программы Правительства Кыргызской Республики по развитию сферы туризма до 2020 года. Основные усилия будут направлены на повышение узнаваемости Кыргызстана как страны туризма на традиционных и потенциальных туристских рынках, улучшение туристической инфраструктуры, инновационное развитие туристических услуг, повышение уровня предоставления услуг в регионах, а также охрану окружающей среды.</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2019-2020 годах, будут: (1) преимущества членства республики в ВТО; (2) полное функционирование в интеграционном объединении ЕАЭС; (3) двустороннее сотрудничество на взаимовыгодной основе; (4)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Объем внешнеторгового оборота в 2019-2020 годах будет расти в среднем на 2,2% ежегодно и в 2020 году достигнет уровня 6,1 млрд. долл. США. Номинальный объем экспорта товаров за 2019-2020 годы в среднем составит 1,7 млрд. долл. США, а импорта - 4,3 млрд. долл. США. Как и прежде, основной статьей экспорта будет золото, которое занимает в структуре экспорта около 48%.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останется на прежнем уровне и составит 2,6 млрд. долл. США в среднем в год в 2019-2020 годах.</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 52,5% в 2019 году до (-) 51,4% в 2020 году.</w:t>
      </w:r>
    </w:p>
    <w:p>
      <w:pPr>
        <w:spacing w:after="240" w:before="240"/>
        <w:ind w:firstLine="567"/>
        <w:jc w:val="right"/>
      </w:pPr>
      <w:r>
        <w:rPr>
          <w:rFonts w:ascii="Arial" w:cs="Arial" w:eastAsia="Arial" w:hAnsi="Arial"/>
          <w:sz w:val="24"/>
          <w:szCs w:val="24"/>
        </w:rPr>
        <w:t xml:space="preserve">Таблица 19</w:t>
      </w:r>
    </w:p>
    <w:p>
      <w:pPr>
        <w:spacing w:after="240" w:before="200"/>
        <w:jc w:val="center"/>
      </w:pPr>
      <w:r>
        <w:rPr>
          <w:rFonts w:ascii="Arial" w:cs="Arial" w:eastAsia="Arial" w:hAnsi="Arial"/>
          <w:b/>
          <w:bCs/>
          <w:sz w:val="32"/>
          <w:szCs w:val="32"/>
        </w:rPr>
        <w:t xml:space="preserve">Использование ВВП в 2019-2020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2"/>
        <w:gridCol w:w="1698"/>
        <w:gridCol w:w="1698"/>
      </w:tblGrid>
      <w:tr>
        <w:tc>
          <w:tcPr>
            <w:tcW w:type="dxa" w:w="67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r>
      <w:tr>
        <w:tc>
          <w:tcPr>
            <w:tcW w:type="dxa" w:w="6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bl>
    <w:p>
      <w:pPr>
        <w:spacing w:after="60" w:before="120"/>
        <w:ind w:firstLine="567"/>
        <w:jc w:val="both"/>
      </w:pPr>
      <w:r>
        <w:rPr>
          <w:rFonts w:ascii="Arial" w:cs="Arial" w:eastAsia="Arial" w:hAnsi="Arial"/>
          <w:sz w:val="24"/>
          <w:szCs w:val="24"/>
        </w:rPr>
        <w:t xml:space="preserve">Политика социального развития в 2019-2020 годах также будет сконцентрирована на выполнении в полном объеме гарантированных социальных обязательств государства, на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Политика в сфере пенсионного обеспечения также будет реализовываться в рамках Концепции развития системы пенсионного обеспечения Кыргызской Республики (постановление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Целью дальнейшего реформирования системы пенсионного обеспечения в Кыргызской Республике на среднесрочный период является модернизация пенсионной системы, которая позволит обеспечить адекватность пенсионных выплат для достойного уровня жизни в пенсионном возрасте, основанной на модели смешанной пенсионной системы (распределительной и накопительной составляющих) при усилении страхового принципа.</w:t>
      </w:r>
    </w:p>
    <w:p>
      <w:pPr>
        <w:spacing w:after="60"/>
        <w:ind w:firstLine="567"/>
        <w:jc w:val="both"/>
      </w:pPr>
      <w:r>
        <w:rPr>
          <w:rFonts w:ascii="Arial" w:cs="Arial" w:eastAsia="Arial" w:hAnsi="Arial"/>
          <w:sz w:val="24"/>
          <w:szCs w:val="24"/>
        </w:rPr>
        <w:t xml:space="preserve">От реализации реформ ожидается формирование устойчивой государственной пенсионной системы и достижение предоставления качественных услуг, гарантия равных возможностей для граждан.</w:t>
      </w:r>
    </w:p>
    <w:p>
      <w:pPr>
        <w:spacing w:after="60"/>
        <w:ind w:firstLine="567"/>
        <w:jc w:val="both"/>
      </w:pPr>
      <w:r>
        <w:rPr>
          <w:rFonts w:ascii="Arial" w:cs="Arial" w:eastAsia="Arial" w:hAnsi="Arial"/>
          <w:sz w:val="24"/>
          <w:szCs w:val="24"/>
        </w:rPr>
        <w:t xml:space="preserve">Политика в сфере здравоохранения будет направлена на реализацию Плана мероприятий Стратегии охраны и укрепления здоровья населения Кыргызской Республики до 2020 года (распоряжение Правительства Кыргызской Республики от 16 марта 2015 года № 106-р), внедрение Программы электронного здравоохранения Кыргызской Республики на 2016-2020 годы и создание Национальной базы данных лекарственных средств и изделий медицинского назначения (постановление Правительства Кыргызской Республики от 18 марта 2016 года № 134).</w:t>
      </w:r>
    </w:p>
    <w:p>
      <w:pPr>
        <w:spacing w:after="60"/>
        <w:ind w:firstLine="567"/>
        <w:jc w:val="both"/>
      </w:pPr>
      <w:r>
        <w:rPr>
          <w:rFonts w:ascii="Arial" w:cs="Arial" w:eastAsia="Arial" w:hAnsi="Arial"/>
          <w:sz w:val="24"/>
          <w:szCs w:val="24"/>
        </w:rPr>
        <w:t xml:space="preserve">Основные направления в сфере развития образования и науки отражены в Концепции развития образования в Кыргызской Республике до 2020 года (постановление Правительства Кыргызской Республики от 23 марта 2012 года № 201) и Стратегии развития образования в Кыргызской Республике на 2012-2020 годы (постановление Правительства Кыргызской Республики от 23 марта 2012 года № 201).</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2019-2020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2019-2020 годах прогнозируется в среднем на уровне 2,5%. В структуре денежных доходов номинальный размер средней заработной платы возрастет в среднем на 7,0% и составит в 2020 году 18985,0 сомов.</w:t>
      </w:r>
    </w:p>
    <w:p>
      <w:pPr>
        <w:spacing w:after="60"/>
        <w:ind w:firstLine="567"/>
        <w:jc w:val="both"/>
      </w:pPr>
      <w:r>
        <w:rPr>
          <w:rFonts w:ascii="Arial" w:cs="Arial" w:eastAsia="Arial" w:hAnsi="Arial"/>
          <w:sz w:val="24"/>
          <w:szCs w:val="24"/>
        </w:rPr>
        <w:t xml:space="preserve">С учетом роста денежных доходов населения рост объема ВВП на душу населения в среднем в 2019-2020 годах составит 7,7%.</w:t>
      </w:r>
    </w:p>
    <w:p>
      <w:pPr>
        <w:spacing w:after="60"/>
        <w:ind w:firstLine="567"/>
        <w:jc w:val="both"/>
      </w:pPr>
      <w:r>
        <w:rPr>
          <w:rFonts w:ascii="Arial" w:cs="Arial" w:eastAsia="Arial" w:hAnsi="Arial"/>
          <w:sz w:val="24"/>
          <w:szCs w:val="24"/>
        </w:rPr>
        <w:t xml:space="preserve">Размер прожиточного минимума (ПМ) увеличится с 5185,4 сома в 2018 году до 5760,5 сома к 2020 году. Коэффициент отношения СЗП к ПМ на взрослое население трудоспособного возраста сложится на уровне 3,0 к 2020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2018 года на 7,9% и составит в 2020 году 5999,0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2020 году 7,1% относительно 7,6% фактически сложившегося уровня в 2015 году.</w:t>
      </w:r>
    </w:p>
    <w:p>
      <w:pPr>
        <w:spacing w:after="60"/>
        <w:ind w:firstLine="567"/>
        <w:jc w:val="both"/>
      </w:pPr>
      <w:r>
        <w:rPr>
          <w:rFonts w:ascii="Arial" w:cs="Arial" w:eastAsia="Arial" w:hAnsi="Arial"/>
          <w:sz w:val="24"/>
          <w:szCs w:val="24"/>
        </w:rPr>
        <w:t xml:space="preserve">Уровень бедности к 2020 году прогнозируется на уровне 31,4% и снизится на 0,6 процентного пункта по сравнению с 2015 годом.</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2018-2020 годы экономический рост в среднем на 4,5% в год будет обеспечиваться за счет:</w:t>
      </w:r>
    </w:p>
    <w:p>
      <w:pPr>
        <w:spacing w:after="60"/>
        <w:ind w:firstLine="567"/>
        <w:jc w:val="both"/>
      </w:pPr>
      <w:r>
        <w:rPr>
          <w:rFonts w:ascii="Arial" w:cs="Arial" w:eastAsia="Arial" w:hAnsi="Arial"/>
          <w:sz w:val="24"/>
          <w:szCs w:val="24"/>
        </w:rPr>
        <w:t xml:space="preserve">- повышения конкурентоспособности национальной экономики через проведение кардинальных реформ для улучшения бизнес-среды;</w:t>
      </w:r>
    </w:p>
    <w:p>
      <w:pPr>
        <w:spacing w:after="60"/>
        <w:ind w:firstLine="567"/>
        <w:jc w:val="both"/>
      </w:pPr>
      <w:r>
        <w:rPr>
          <w:rFonts w:ascii="Arial" w:cs="Arial" w:eastAsia="Arial" w:hAnsi="Arial"/>
          <w:sz w:val="24"/>
          <w:szCs w:val="24"/>
        </w:rPr>
        <w:t xml:space="preserve">- реализации бюджетной политики, оптимизации государственных расходов;</w:t>
      </w:r>
    </w:p>
    <w:p>
      <w:pPr>
        <w:spacing w:after="60"/>
        <w:ind w:firstLine="567"/>
        <w:jc w:val="both"/>
      </w:pPr>
      <w:r>
        <w:rPr>
          <w:rFonts w:ascii="Arial" w:cs="Arial" w:eastAsia="Arial" w:hAnsi="Arial"/>
          <w:sz w:val="24"/>
          <w:szCs w:val="24"/>
        </w:rPr>
        <w:t xml:space="preserve">- построения прозрачной и эффективной системы исполнительной власти, свободной от влияния коррупции.</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на среднесрочный период является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hyperlink w:history="1" r:id="rIdwipzritpepavkcxpirs2z">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pfbszcy-pdmugpt2rtuja">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настоящему Среднесрочному прогнозу социально-экономического развития Кыргызской Республики на 2018-2020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Темпы прироста приведены по ВДС.</w:t>
      </w:r>
    </w:p>
    <w:p>
      <w:pPr>
        <w:spacing w:after="60"/>
        <w:ind w:firstLine="567"/>
        <w:jc w:val="both"/>
      </w:pPr>
      <w:r>
        <w:rPr>
          <w:rFonts w:ascii="Arial" w:cs="Arial" w:eastAsia="Arial" w:hAnsi="Arial"/>
          <w:sz w:val="24"/>
          <w:szCs w:val="24"/>
        </w:rPr>
        <w:t xml:space="preserve">(2) По данным Министерства экономического развития Российской Федерации по состоянию на 27 февраля 2017 года.</w:t>
      </w:r>
    </w:p>
    <w:p>
      <w:pPr>
        <w:spacing w:after="60"/>
        <w:ind w:firstLine="567"/>
        <w:jc w:val="both"/>
      </w:pPr>
      <w:r>
        <w:rPr>
          <w:rFonts w:ascii="Arial" w:cs="Arial" w:eastAsia="Arial" w:hAnsi="Arial"/>
          <w:sz w:val="24"/>
          <w:szCs w:val="24"/>
        </w:rPr>
        <w:t xml:space="preserve">(3) По данным Центрального банка Российской Федерации по состоянию на 24 марта 2017 года.</w:t>
      </w:r>
    </w:p>
    <w:p>
      <w:pPr>
        <w:spacing w:after="60"/>
        <w:ind w:firstLine="567"/>
        <w:jc w:val="both"/>
      </w:pPr>
      <w:r>
        <w:rPr>
          <w:rFonts w:ascii="Arial" w:cs="Arial" w:eastAsia="Arial" w:hAnsi="Arial"/>
          <w:sz w:val="24"/>
          <w:szCs w:val="24"/>
        </w:rPr>
        <w:t xml:space="preserve">(4) По данным Министерства национальной экономики Республики Казахстан от 13 февраля 2017 года, протокол № 7.</w:t>
      </w:r>
    </w:p>
    <w:p>
      <w:pPr>
        <w:spacing w:after="60"/>
        <w:ind w:firstLine="567"/>
        <w:jc w:val="both"/>
      </w:pPr>
      <w:r>
        <w:rPr>
          <w:rFonts w:ascii="Arial" w:cs="Arial" w:eastAsia="Arial" w:hAnsi="Arial"/>
          <w:sz w:val="24"/>
          <w:szCs w:val="24"/>
        </w:rPr>
        <w:t xml:space="preserve">(5) По данным Центрального банка Российской Федерации по состоянию на 24 марта 2017 года.</w:t>
      </w:r>
    </w:p>
    <w:p>
      <w:pPr>
        <w:spacing w:after="60"/>
        <w:ind w:firstLine="567"/>
        <w:jc w:val="both"/>
      </w:pPr>
      <w:r>
        <w:rPr>
          <w:rFonts w:ascii="Arial" w:cs="Arial" w:eastAsia="Arial" w:hAnsi="Arial"/>
          <w:sz w:val="24"/>
          <w:szCs w:val="24"/>
        </w:rPr>
        <w:t xml:space="preserve">(6) Оценка Всемирного банка (фактических данных нет).</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Рассчитывается</w:t>
      </w:r>
      <w:r>
        <w:rPr>
          <w:rFonts w:ascii="Arial" w:cs="Arial" w:eastAsia="Arial" w:hAnsi="Arial"/>
          <w:sz w:val="24"/>
          <w:szCs w:val="24"/>
        </w:rPr>
        <w:t xml:space="preserve"> The London Gold Market Fixing Ltd.</w:t>
      </w:r>
    </w:p>
    <w:p>
      <w:pPr>
        <w:spacing w:after="60"/>
        <w:ind w:firstLine="567"/>
        <w:jc w:val="both"/>
      </w:pPr>
      <w:r>
        <w:rPr>
          <w:rFonts w:ascii="Arial" w:cs="Arial" w:eastAsia="Arial" w:hAnsi="Arial"/>
          <w:sz w:val="24"/>
          <w:szCs w:val="24"/>
        </w:rPr>
        <w:t xml:space="preserve">(8) Темпы прироста приведены по ВДС.</w:t>
      </w:r>
    </w:p>
    <w:p>
      <w:pPr>
        <w:spacing w:after="60"/>
        <w:ind w:firstLine="567"/>
        <w:jc w:val="both"/>
      </w:pPr>
      <w:r>
        <w:rPr>
          <w:rFonts w:ascii="Arial" w:cs="Arial" w:eastAsia="Arial" w:hAnsi="Arial"/>
          <w:sz w:val="24"/>
          <w:szCs w:val="24"/>
        </w:rPr>
        <w:t xml:space="preserve">(9)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(10)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5"/>
        <w:gridCol w:w="1449"/>
        <w:gridCol w:w="928"/>
        <w:gridCol w:w="737"/>
        <w:gridCol w:w="737"/>
        <w:gridCol w:w="737"/>
        <w:gridCol w:w="735"/>
      </w:tblGrid>
      <w:tr>
        <w:tc>
          <w:tcPr>
            <w:tcW w:type="dxa" w:w="48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82105,8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87471,8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95638,7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106253,7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60588,8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68083,8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72491,9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76993,2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44451,0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50379,5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57104,4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64569,5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227983,1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249554,4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273288,5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300140,5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329927,1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50343,4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64497,6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70736,7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412794,8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451359,7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497400,5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546021,3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599714,2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b/>
                <w:bCs/>
                <w:sz w:val="24"/>
                <w:szCs w:val="24"/>
              </w:rPr>
              <w:t xml:space="preserve">(</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534651,6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578697,2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623247,3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676891,8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739427,9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456765,7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496977,8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536762,7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585360,2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642085,3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77885,9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81719,4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86484,6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91531,6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97342,6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177092,7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191446,4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205065,8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222379,6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242379,9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44591,6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40395,6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42066,5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39511,2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41565,0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43540,0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39042,1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40157,1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38102,0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37535,3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132501,1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151050,8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162999,3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182868,4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200814,9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-253739,3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-276104,8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-290219,2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-309444,8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-333372,6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140567,7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150934,1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163105,5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176765,6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190136,8</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394307,0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427038,9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453324,7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486210,4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523509,4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Социальные показатели</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1293,9</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310170,5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331522,9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354921,2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383201,8</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414547,4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5185,4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5455,0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5352,0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5539,3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6430,6</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4303,7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4654,8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4896,82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5171,0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5941,3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6294,1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14492,0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15503,2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16577,8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17734,1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18985,0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5078,0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5789,0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5999,0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2461,0</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2497,4</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секторам:</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696,5</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1188,6</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1235,2</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4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4"/>
        <w:gridCol w:w="1073"/>
        <w:gridCol w:w="798"/>
        <w:gridCol w:w="798"/>
        <w:gridCol w:w="798"/>
        <w:gridCol w:w="798"/>
      </w:tblGrid>
      <w:tr>
        <w:tc>
          <w:tcPr>
            <w:tcW w:type="dxa" w:w="591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w:t>
            </w:r>
            <w:r>
              <w:rPr>
                <w:rFonts w:ascii="Arial" w:cs="Arial" w:eastAsia="Arial" w:hAnsi="Arial"/>
                <w:b/>
                <w:bCs/>
                <w:sz w:val="24"/>
                <w:szCs w:val="24"/>
              </w:rPr>
              <w:t xml:space="preserve">(</w:t>
            </w:r>
            <w:r>
              <w:rPr>
                <w:rFonts w:ascii="Arial" w:cs="Arial" w:eastAsia="Arial" w:hAnsi="Arial"/>
                <w:b/>
                <w:bCs/>
                <w:sz w:val="24"/>
                <w:szCs w:val="24"/>
              </w:rPr>
              <w:t xml:space="preserve">% от ВВП</w:t>
            </w:r>
            <w:r>
              <w:rPr>
                <w:rFonts w:ascii="Arial" w:cs="Arial" w:eastAsia="Arial" w:hAnsi="Arial"/>
                <w:b/>
                <w:bCs/>
                <w:sz w:val="24"/>
                <w:szCs w:val="24"/>
              </w:rPr>
              <w:t xml:space="preserve">)</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Производство ВВП</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b/>
                <w:bCs/>
                <w:sz w:val="24"/>
                <w:szCs w:val="24"/>
              </w:rPr>
              <w:t xml:space="preserve">(</w:t>
            </w:r>
            <w:r>
              <w:rPr>
                <w:rFonts w:ascii="Arial" w:cs="Arial" w:eastAsia="Arial" w:hAnsi="Arial"/>
                <w:b/>
                <w:bCs/>
                <w:sz w:val="24"/>
                <w:szCs w:val="24"/>
              </w:rPr>
              <w:t xml:space="preserve">4</w:t>
            </w:r>
            <w:r>
              <w:rPr>
                <w:rFonts w:ascii="Arial" w:cs="Arial" w:eastAsia="Arial" w:hAnsi="Arial"/>
                <w:b/>
                <w:bCs/>
                <w:sz w:val="24"/>
                <w:szCs w:val="24"/>
              </w:rPr>
              <w:t xml:space="preserve">)</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r>
      <w:tr>
        <w:tc>
          <w:tcPr>
            <w:tcW w:type="dxa" w:w="5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Валовая продукция и темпы роста в секторах, формирующих ВВП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9"/>
        <w:gridCol w:w="926"/>
        <w:gridCol w:w="688"/>
        <w:gridCol w:w="688"/>
        <w:gridCol w:w="688"/>
        <w:gridCol w:w="688"/>
      </w:tblGrid>
      <w:tr>
        <w:tc>
          <w:tcPr>
            <w:tcW w:type="dxa" w:w="64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197100,8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207357,6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221482,8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235822,7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250465,7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Промышленность(5),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203208,2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209868,8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223584,7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244460,0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271592,7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Промышленность(6),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205265,5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211598,7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225273,6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245160,2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271632,7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11434,4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13770,7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17477,9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18033,7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19343,8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160484,3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161223,7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167756,3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185265,3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208288,5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34697,1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39669,2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41612,2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2388,3</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108031,4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119801,6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137709,1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150894,5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166803,4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128568,1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146220,5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165613,0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187719,7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212259,7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387685,6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424367,7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464727,6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510389,4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561041,4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134194,1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150418,8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167225,1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186433,3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206602,0</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39617,3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43657,1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47763,1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52637,8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57835,9</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21702,7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23944,6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26687,5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29776,0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32926,4</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31097,0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34410,6</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36356,8</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38448,8</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0"/>
        <w:gridCol w:w="1193"/>
        <w:gridCol w:w="871"/>
        <w:gridCol w:w="871"/>
        <w:gridCol w:w="871"/>
        <w:gridCol w:w="871"/>
      </w:tblGrid>
      <w:tr>
        <w:tc>
          <w:tcPr>
            <w:tcW w:type="dxa" w:w="55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r>
              <w:rPr>
                <w:rFonts w:ascii="Arial" w:cs="Arial" w:eastAsia="Arial" w:hAnsi="Arial"/>
                <w:sz w:val="24"/>
                <w:szCs w:val="24"/>
              </w:rPr>
              <w:t xml:space="preserve">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197100,8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207357,6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221482,8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235822,7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250465,7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98612,2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103285,0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109474,3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117279,1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124550,7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25047,2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27646,8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3609,4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4056,1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16636,2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16928,3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17566,1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18293,6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19166,4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35568,6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37418,6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248,9</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7744,5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8213,3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8894,4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9444,5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10074,2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11138,8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17235,6</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93942,6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99088,8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106543,2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112554,0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119345,4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59120,4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62119,0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66223,5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69577,7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73459,7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29520,4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31040,1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33408,1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35166,2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37238,5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3284,7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3482,9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3929,1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4157,1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4428,5</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1807,3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2227,5</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3883,3</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Услуги(7),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4158,0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55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2018-2020 годы, без учета стоимости переработки давальческого сырья,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1"/>
        <w:gridCol w:w="857"/>
        <w:gridCol w:w="635"/>
        <w:gridCol w:w="635"/>
        <w:gridCol w:w="635"/>
        <w:gridCol w:w="635"/>
      </w:tblGrid>
      <w:tr>
        <w:tc>
          <w:tcPr>
            <w:tcW w:type="dxa" w:w="67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205265,5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211598,7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225273,6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245160,2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271632,7</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108031,4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137709,1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150894,5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166803,4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11434,4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13770,7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17477,9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18033,7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19343,8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2808,6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Обрабатывающие производства,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160484,3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161223,7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167756,3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185265,3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208288,5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24498,1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33071,9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6905,5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8016,2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7163,9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14281,1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20738,2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15598,4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17081,6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102920,1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97940,5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121106,9</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31615,9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34697,1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38003,5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39669,2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41612,2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1730,9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1907,2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2035,9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2388,3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7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2018-2020 годы, с учетом стоимости переработки давальческого сырья,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6"/>
        <w:gridCol w:w="851"/>
        <w:gridCol w:w="623"/>
        <w:gridCol w:w="623"/>
        <w:gridCol w:w="623"/>
        <w:gridCol w:w="623"/>
      </w:tblGrid>
      <w:tr>
        <w:tc>
          <w:tcPr>
            <w:tcW w:type="dxa" w:w="68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203208,2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209868,8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223584,7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244460,0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271592,7</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105974,1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118071,7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136020,2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150194,3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166763,4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11434,4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13770,7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17477,9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18033,7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19343,8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2808,6</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2471,6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5843,4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Обрабатывающие производства,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168705,4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170824,2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178466,8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197495</w:t>
            </w:r>
            <w:r>
              <w:rPr>
                <w:rFonts w:ascii="Arial" w:cs="Arial" w:eastAsia="Arial" w:hAnsi="Arial"/>
                <w:b/>
                <w:bCs/>
                <w:sz w:val="24"/>
                <w:szCs w:val="24"/>
              </w:rPr>
              <w:t xml:space="preserve">,</w:t>
            </w:r>
            <w:r>
              <w:rPr>
                <w:rFonts w:ascii="Arial" w:cs="Arial" w:eastAsia="Arial" w:hAnsi="Arial"/>
                <w:b/>
                <w:bCs/>
                <w:sz w:val="24"/>
                <w:szCs w:val="24"/>
              </w:rPr>
              <w:t xml:space="preserve">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221806,5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30583,2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32826,7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40770,1</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6299,1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9390,5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510,6</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13942,6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15901,3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17413,3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102920,1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97940,5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96346,3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121106,9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1631,9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1661,2</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21337,5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23366,7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25604,1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26739,0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28054,0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1730,9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1907,2</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2035,9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2192,0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2388,5</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2"/>
        <w:gridCol w:w="920"/>
        <w:gridCol w:w="684"/>
        <w:gridCol w:w="684"/>
        <w:gridCol w:w="684"/>
        <w:gridCol w:w="684"/>
      </w:tblGrid>
      <w:tr>
        <w:tc>
          <w:tcPr>
            <w:tcW w:type="dxa" w:w="65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11521,4</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11334,7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11448,1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11562,6</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2420,7</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3203,7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3333,8</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10710,7</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10817,8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11145,6</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5529,8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6905,5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8016,2</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портландцемент,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сурьмянистые,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13054,6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14646,0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15221,1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15546,2</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15872,7</w:t>
            </w:r>
          </w:p>
        </w:tc>
      </w:tr>
      <w:tr>
        <w:tc>
          <w:tcPr>
            <w:tcW w:type="dxa" w:w="6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2620,1</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производства золота в Кыргызской Республике на 2018-2020 годы(8)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8"/>
        <w:gridCol w:w="1282"/>
        <w:gridCol w:w="955"/>
        <w:gridCol w:w="955"/>
        <w:gridCol w:w="955"/>
        <w:gridCol w:w="955"/>
      </w:tblGrid>
      <w:tr>
        <w:tc>
          <w:tcPr>
            <w:tcW w:type="dxa" w:w="50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Производство золота, сплав Доре, кг</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17338,3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15992,3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15305,6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16534,4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20117,3</w:t>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17136,7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15707,3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14245,4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16267,1</w:t>
            </w:r>
          </w:p>
        </w:tc>
      </w:tr>
      <w:tr>
        <w:tc>
          <w:tcPr>
            <w:tcW w:type="dxa" w:w="5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80"/>
        <w:gridCol w:w="991"/>
        <w:gridCol w:w="727"/>
        <w:gridCol w:w="727"/>
        <w:gridCol w:w="727"/>
        <w:gridCol w:w="727"/>
      </w:tblGrid>
      <w:tr>
        <w:tc>
          <w:tcPr>
            <w:tcW w:type="dxa" w:w="62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387685,6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424367,7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464727,6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510389,4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561041,4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150418,8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167225,1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186433,3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206602,0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43657,1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47763,1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52637,8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57835,9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23944,6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29776,0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32926,4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31097,0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32664,3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36356,8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38448,8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21912,1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29309,0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18954,5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23453,4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25499,5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12227,5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12920,1</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4732,0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36435,4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40688,6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43349,9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46364,4</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34640,3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42650,7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47471,2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53037,2</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18985,9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21143,0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23586,4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25809,0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28373,9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8903,8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млн. сомов</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11356,8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13344,4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14595,6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16088,5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8"/>
        <w:gridCol w:w="1089"/>
        <w:gridCol w:w="800"/>
        <w:gridCol w:w="800"/>
        <w:gridCol w:w="800"/>
        <w:gridCol w:w="800"/>
      </w:tblGrid>
      <w:tr>
        <w:tc>
          <w:tcPr>
            <w:tcW w:type="dxa" w:w="5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603039,5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665625,1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731255,6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805713,6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884184,8</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451746,5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503498,6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556573,4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616982,1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679836,9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20888,0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22914,1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25393,9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30975,1</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33330,3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34908,2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36667,6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40733</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97074,7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104304,1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112620,6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121930,5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132639</w:t>
            </w:r>
            <w:r>
              <w:rPr>
                <w:rFonts w:ascii="Arial" w:cs="Arial" w:eastAsia="Arial" w:hAnsi="Arial"/>
                <w:sz w:val="24"/>
                <w:szCs w:val="24"/>
              </w:rPr>
              <w:t xml:space="preserve">,5</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0"/>
        <w:gridCol w:w="1028"/>
        <w:gridCol w:w="755"/>
        <w:gridCol w:w="755"/>
        <w:gridCol w:w="755"/>
        <w:gridCol w:w="755"/>
      </w:tblGrid>
      <w:tr>
        <w:tc>
          <w:tcPr>
            <w:tcW w:type="dxa" w:w="61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133383,7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150563,0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171347,3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197864,2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229904,0</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76617,6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79452,4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89671,7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104770,6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115995,3</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1049,9</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32758,6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39349,8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48821,1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59148,4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63198,5</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32479,4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35517,7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36079,4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40762,8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44812,6</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56766,1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71110,6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81675,6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93093,6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113908,7</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37839,9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47532,2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57721,9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65562,4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71529,4</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15288,9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19431,3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19717,5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22197,3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34529,8</w:t>
            </w:r>
          </w:p>
        </w:tc>
      </w:tr>
      <w:tr>
        <w:tc>
          <w:tcPr>
            <w:tcW w:type="dxa" w:w="6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4147,1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5333,9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7849,5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1956"/>
        <w:gridCol w:w="1266"/>
        <w:gridCol w:w="930"/>
        <w:gridCol w:w="930"/>
        <w:gridCol w:w="930"/>
        <w:gridCol w:w="930"/>
      </w:tblGrid>
      <w:tr>
        <w:tc>
          <w:tcPr>
            <w:tcW w:type="dxa" w:w="32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9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3919,1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-2374,5</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5464</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7"/>
        <w:gridCol w:w="1791"/>
        <w:gridCol w:w="1160"/>
        <w:gridCol w:w="853"/>
        <w:gridCol w:w="853"/>
        <w:gridCol w:w="853"/>
        <w:gridCol w:w="853"/>
      </w:tblGrid>
      <w:tr>
        <w:tc>
          <w:tcPr>
            <w:tcW w:type="dxa" w:w="38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7"/>
        <w:gridCol w:w="1569"/>
        <w:gridCol w:w="1015"/>
        <w:gridCol w:w="747"/>
        <w:gridCol w:w="747"/>
        <w:gridCol w:w="747"/>
        <w:gridCol w:w="747"/>
      </w:tblGrid>
      <w:tr>
        <w:tc>
          <w:tcPr>
            <w:tcW w:type="dxa" w:w="46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всего</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3919,1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w:t>
      </w:r>
      <w:r>
        <w:rPr>
          <w:rFonts w:ascii="Arial" w:cs="Arial" w:eastAsia="Arial" w:hAnsi="Arial"/>
          <w:sz w:val="24"/>
          <w:szCs w:val="24"/>
        </w:rPr>
        <w:t xml:space="preserve">к Среднесрочному прогнозу социально-экономического развития Кыргызской Республики на 2018-2020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2018-2020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9"/>
        <w:gridCol w:w="1063"/>
        <w:gridCol w:w="778"/>
        <w:gridCol w:w="778"/>
        <w:gridCol w:w="778"/>
        <w:gridCol w:w="774"/>
      </w:tblGrid>
      <w:tr>
        <w:tc>
          <w:tcPr>
            <w:tcW w:type="dxa" w:w="60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w:t>
            </w:r>
            <w:r>
              <w:rPr>
                <w:rFonts w:ascii="Arial" w:cs="Arial" w:eastAsia="Arial" w:hAnsi="Arial"/>
                <w:sz w:val="24"/>
                <w:szCs w:val="24"/>
              </w:rPr>
              <w:t xml:space="preserve"> (млн. сомов)(9)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21320,8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22908,9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63368,2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68859,1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74671,7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55583,7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60093,2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67429,6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16874,4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32477,8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43592,3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20352,9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76283,5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82562,5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90977,3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99534,2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108478,6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205453,8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226463,8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249525,1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24632,5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30560,0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34070,2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38220,8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197100,8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207357,6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221482,8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235822,7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250465,7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17497,6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38245,1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42918,2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45708,7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48539,4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22644,9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42117,0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44986,1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47929,8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21210,5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22374,4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59039,4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68240,8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sz w:val="24"/>
                <w:szCs w:val="24"/>
              </w:rPr>
              <w:t xml:space="preserve">(10)</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203208,2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209868,8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223584,7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244460,0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271592,7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5568,0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30955,4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34180,6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46710,1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44729,4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46888,8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53963,2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2878,2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3029,2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7155,7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81169,6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85809,4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102874,7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114568,6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39412,6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4271,1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4588,5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4943,4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sz w:val="24"/>
                <w:szCs w:val="24"/>
              </w:rPr>
              <w:t xml:space="preserve">(11) (млн.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205265,5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211598,7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225273,6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245160,2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271632,7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28091,3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31016,1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49658,6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51928,0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85662,0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90567,0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99409,1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108127,8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119884,0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32914,0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38519,6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w:t>
            </w:r>
            <w:r>
              <w:rPr>
                <w:rFonts w:ascii="Arial" w:cs="Arial" w:eastAsia="Arial" w:hAnsi="Arial"/>
                <w:sz w:val="24"/>
                <w:szCs w:val="24"/>
              </w:rPr>
              <w:t xml:space="preserve">(млн. сомов)(12)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387685,6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424367,7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464727,6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510389,4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561041,4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51036,4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24097,5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27544,0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12866,2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26432,2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29558,8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38197,6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43852,4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14520,6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44368,6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49039,0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59212,5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193553,3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211235,5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230737,4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253604,0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279078,1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34980,9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38897,7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48875,4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ремонта автомобилей и мотоциклов </w:t>
            </w:r>
            <w:r>
              <w:rPr>
                <w:rFonts w:ascii="Arial" w:cs="Arial" w:eastAsia="Arial" w:hAnsi="Arial"/>
                <w:sz w:val="24"/>
                <w:szCs w:val="24"/>
              </w:rPr>
              <w:t xml:space="preserve">(млн. сомов)(13)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134194,1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150418,8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167225,1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186433,3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206602,0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4298,6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4716,5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18411,8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20143,2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22017,1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4676,5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27942,9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30212,2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67976,1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84929,3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15715,8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603039,5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665625,1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731255,6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805713,6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884184,8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20022,6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21802,3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62295,7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73784,6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80112,3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86983,0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30721,8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32781,8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12749,9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34897,1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41806,0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51768,9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13431,6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17771,9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72048,5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80579,9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89057,5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98309,3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105883,9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322196,8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355745,3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391205,2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432438,9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476956,2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59488,9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66137,4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73601,4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451746,5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503498,6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556573,4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616982,1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679836,9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16413,5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53438,7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58290,8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75176,5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17840,2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22397,4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24062,0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9356,5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46232,1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62596,9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71493,3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80194,0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89685,1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96409,9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216057,5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241478,0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267433,0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297840,1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331427,2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44896,5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49626,1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61503,4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 </w:t>
            </w:r>
            <w:r>
              <w:rPr>
                <w:rFonts w:ascii="Arial" w:cs="Arial" w:eastAsia="Arial" w:hAnsi="Arial"/>
                <w:sz w:val="24"/>
                <w:szCs w:val="24"/>
              </w:rPr>
              <w:t xml:space="preserve">(млн.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128568,1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146220,5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165613,0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187719,7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212259,7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4352,8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4849,5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25439,1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28473,9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31962,3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17555,5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20437,6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23236,9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11329,6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7817,1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2488,7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19779,6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69225,7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78722,1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89362,8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7691,2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133383,7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150563,0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171347,3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197864,2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229904,0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4327,9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27842,2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32082,4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20784,8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28597,3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33818,8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39459,1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7976,0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12598,5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5849,7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6594,2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25941,5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29404,3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59129,8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67581,0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78165,3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91201,7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4900,1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6506,3</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2497,4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2533,4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102393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19420,7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19481,2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2143,0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2042,0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3373,8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1295,9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19321,0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19334,0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14454,0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9881,3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9891,3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9911,0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901,4</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sz w:val="24"/>
                <w:szCs w:val="24"/>
              </w:rPr>
              <w:t xml:space="preserve">(14),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14492,0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16577,8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17734,1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18985,0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11252,7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13650,5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13450,0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14378,5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16009,0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16993,5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10691,0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13122,8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15176,2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17302,9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18430,3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12204,7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13075,3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11695,9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12489,7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13274,6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13743,1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14655,0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15547,8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16565,1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18847,0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22763,4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24201,1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14035,8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15005,6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15948,4</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16987,3</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w:t>
            </w:r>
            <w:r>
              <w:rPr>
                <w:rFonts w:ascii="Arial" w:cs="Arial" w:eastAsia="Arial" w:hAnsi="Arial"/>
                <w:sz w:val="24"/>
                <w:szCs w:val="24"/>
              </w:rPr>
              <w:t xml:space="preserve"> сомов</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Республика, всего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4794,3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4962,1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5185,4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5455,0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5760,5</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4786,9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4964,4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5468,3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5751,6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4862,8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5097,3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5356,6</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5662,6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область(15)</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5159,1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5401,7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5684,8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6000,8</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4274,5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4434,1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4623,2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4891,2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5136,0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4562,2</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5176,3</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5481,6</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4985,3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5201,6</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5464,0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5787,4</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соответствующему периоду предыдущего года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 за 2016-2020 годы.</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По данным Социального фонда Кыргызской Республики.</w:t>
      </w:r>
    </w:p>
    <w:p>
      <w:pPr>
        <w:spacing w:after="60"/>
        <w:ind w:firstLine="567"/>
        <w:jc w:val="both"/>
      </w:pPr>
      <w:r>
        <w:rPr>
          <w:rFonts w:ascii="Arial" w:cs="Arial" w:eastAsia="Arial" w:hAnsi="Arial"/>
          <w:sz w:val="24"/>
          <w:szCs w:val="24"/>
        </w:rPr>
        <w:t xml:space="preserve">(4)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(5)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(6)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(7) С учетом вычета коммунальных услуг.</w:t>
      </w:r>
    </w:p>
    <w:p>
      <w:pPr>
        <w:spacing w:after="60"/>
        <w:ind w:firstLine="567"/>
        <w:jc w:val="both"/>
      </w:pPr>
      <w:r>
        <w:rPr>
          <w:rFonts w:ascii="Arial" w:cs="Arial" w:eastAsia="Arial" w:hAnsi="Arial"/>
          <w:sz w:val="24"/>
          <w:szCs w:val="24"/>
        </w:rPr>
        <w:t xml:space="preserve">(8)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(9) Оценка Министерства экономики Кыргызской Республики за 2016 год.</w:t>
      </w:r>
    </w:p>
    <w:p>
      <w:pPr>
        <w:spacing w:after="60"/>
        <w:ind w:firstLine="567"/>
        <w:jc w:val="both"/>
      </w:pPr>
      <w:r>
        <w:rPr>
          <w:rFonts w:ascii="Arial" w:cs="Arial" w:eastAsia="Arial" w:hAnsi="Arial"/>
          <w:sz w:val="24"/>
          <w:szCs w:val="24"/>
        </w:rPr>
        <w:t xml:space="preserve">(10)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(11)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(12) Оценка Министерства экономики Кыргызской Республики за 2016 год.</w:t>
      </w:r>
    </w:p>
    <w:p>
      <w:pPr>
        <w:spacing w:after="60"/>
        <w:ind w:firstLine="567"/>
        <w:jc w:val="both"/>
      </w:pPr>
      <w:r>
        <w:rPr>
          <w:rFonts w:ascii="Arial" w:cs="Arial" w:eastAsia="Arial" w:hAnsi="Arial"/>
          <w:sz w:val="24"/>
          <w:szCs w:val="24"/>
        </w:rPr>
        <w:t xml:space="preserve">(13) Оценка Министерства экономики Кыргызской Республики за 2016 год.</w:t>
      </w:r>
    </w:p>
    <w:p>
      <w:pPr>
        <w:spacing w:after="60"/>
        <w:ind w:firstLine="567"/>
        <w:jc w:val="both"/>
      </w:pPr>
      <w:r>
        <w:rPr>
          <w:rFonts w:ascii="Arial" w:cs="Arial" w:eastAsia="Arial" w:hAnsi="Arial"/>
          <w:sz w:val="24"/>
          <w:szCs w:val="24"/>
        </w:rPr>
        <w:t xml:space="preserve">(14) Данные за 2014 г., без учета малых предприятий.</w:t>
      </w:r>
    </w:p>
    <w:p>
      <w:pPr>
        <w:spacing w:after="60"/>
        <w:ind w:firstLine="567"/>
        <w:jc w:val="both"/>
      </w:pPr>
      <w:r>
        <w:rPr>
          <w:rFonts w:ascii="Arial" w:cs="Arial" w:eastAsia="Arial" w:hAnsi="Arial"/>
          <w:sz w:val="24"/>
          <w:szCs w:val="24"/>
        </w:rPr>
        <w:t xml:space="preserve">(15) Вместе с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3hcxyxbmzekj8cw7bvsy">
      <w:r>
        <w:rPr>
          <w:rFonts w:ascii="Arial" w:cs="Arial" w:eastAsia="Arial" w:hAnsi="Arial"/>
          <w:color w:val="132D3F"/>
          <w:sz w:val="16"/>
          <w:szCs w:val="16"/>
          <w:u w:val="single"/>
        </w:rPr>
        <w:t xml:space="preserve">dalil.kg/document/12308</w:t>
      </w:r>
    </w:hyperlink>
  </w:p>
  <w:p>
    <w:pPr>
      <w:spacing w:after="0" w:before="40"/>
      <w:jc w:val="center"/>
    </w:pPr>
    <w:hyperlink w:history="1" r:id="rId8wr7ej9ek_mc3xulcywm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ltbhlbaaex27owo7_3-" Type="http://schemas.openxmlformats.org/officeDocument/2006/relationships/hyperlink" Target="https://dalil.kg/document/12307" TargetMode="External"/><Relationship Id="rIdcoumwlkfaxpe3mpv6c7ba" Type="http://schemas.openxmlformats.org/officeDocument/2006/relationships/hyperlink" Target="https://dalil.kg/document/111338" TargetMode="External"/><Relationship Id="rIdn7r1apojdmoot3jdn7de5" Type="http://schemas.openxmlformats.org/officeDocument/2006/relationships/hyperlink" Target="https://dalil.kg/document/202530" TargetMode="External"/><Relationship Id="rIdc8qs-xojqu-xgfsl6izfp" Type="http://schemas.openxmlformats.org/officeDocument/2006/relationships/hyperlink" Target="https://dalil.kg/document/203685" TargetMode="External"/><Relationship Id="rIdfzkjxce5c3shq0_rfsk52" Type="http://schemas.openxmlformats.org/officeDocument/2006/relationships/hyperlink" Target="https://dalil.kg/document/12308#p1" TargetMode="External"/><Relationship Id="rId58b5jtbf-tv2zfekqzccw" Type="http://schemas.openxmlformats.org/officeDocument/2006/relationships/hyperlink" Target="https://dalil.kg/document/98628" TargetMode="External"/><Relationship Id="rIdo939tugcw0hm9amwqo6un" Type="http://schemas.openxmlformats.org/officeDocument/2006/relationships/hyperlink" Target="https://dalil.kg/document/98791" TargetMode="External"/><Relationship Id="rIdwipzritpepavkcxpirs2z" Type="http://schemas.openxmlformats.org/officeDocument/2006/relationships/hyperlink" Target="https://dalil.kg/document/12308#pr1" TargetMode="External"/><Relationship Id="rIdpfbszcy-pdmugpt2rtuja" Type="http://schemas.openxmlformats.org/officeDocument/2006/relationships/hyperlink" Target="https://dalil.kg/document/12308#pr1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3hcxyxbmzekj8cw7bvsy" Type="http://schemas.openxmlformats.org/officeDocument/2006/relationships/hyperlink" Target="https://dalil.kg/document/12308" TargetMode="External"/><Relationship Id="rId8wr7ej9ek_mc3xulcywm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2026-10-01T19:42:39.574Z</dcterms:created>
  <dcterms:modified xsi:type="dcterms:W3CDTF">2026-10-01T19:42:39.574Z</dcterms:modified>
</cp:coreProperties>
</file>

<file path=docProps/custom.xml><?xml version="1.0" encoding="utf-8"?>
<Properties xmlns="http://schemas.openxmlformats.org/officeDocument/2006/custom-properties" xmlns:vt="http://schemas.openxmlformats.org/officeDocument/2006/docPropsVTypes"/>
</file>