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zb97i7p_9qiwa3v1q5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сентября 2019 года № 469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2018 года № 397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основных направлениях фискальной политики Кыргызской Республики на 2019-2021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82 </w:t>
      </w:r>
      <w:hyperlink w:history="1" r:id="rIdllqrgkecbyywggxhu-w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atpxjpjawcoyak41ijg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n9f1pg9fo_so0jm1hj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Основные направления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фискальной политики Кыргызской Республики на 2019-2021 годы, в том числе контрольные цифры для формирования республиканского бюджета Кыргызской Республики на 2019-2021 годы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 и другим бюджетным организациям: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24 августа 2018 года на основе Основных направлений фискальной политики Кыргызской Республики на 2019-2021 годы разработать и представить в Министерство финансов Кыргызской Республики информацию, необходимую для составления проекта республиканского бюджета Кыргызской Республики на 2019-2021 годы, в том числе на программной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соблюдение контрольных цифр при формировании проектов смет расходов на 2019-2021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15 сентября 2018 года разработать проект Закона Кыргызской Республики "О республиканском бюджете Кыргызской Республики на 2019 год и прогнозе на 2020-2021 годы" и представить на 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подготовке проекта Закона Кыргызской Республики "О республиканском бюджете Кыргызской Республики на 2019 год и прогнозе на 2020-2021 годы" установить оборотную кассовую наличность в размере 500,0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_mcduak9wnyunlz6kbv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</w:t>
      </w:r>
      <w:hyperlink w:history="1" r:id="rIdukintdnkd7senc_lede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основных направлениях</w:t>
        </w:r>
      </w:hyperlink>
      <w:r>
        <w:rPr>
          <w:rFonts w:ascii="Arial" w:cs="Arial" w:eastAsia="Arial" w:hAnsi="Arial"/>
          <w:sz w:val="24"/>
          <w:szCs w:val="24"/>
        </w:rPr>
        <w:t xml:space="preserve"> фискальной политики Кыргызской Республики на 2018-2020 годы" от 5 июля 2017 года № 423.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iskukcnlj5ta0c3co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dalil.kg/document/12339</w:t>
      </w:r>
    </w:hyperlink>
  </w:p>
  <w:p>
    <w:pPr>
      <w:spacing w:after="0" w:before="40"/>
      <w:jc w:val="center"/>
    </w:pPr>
    <w:hyperlink w:history="1" r:id="rIdeo_utqym4qtxnpggufx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b97i7p_9qiwa3v1q5aw" Type="http://schemas.openxmlformats.org/officeDocument/2006/relationships/hyperlink" Target="https://dalil.kg/document/157291" TargetMode="External"/><Relationship Id="rIdllqrgkecbyywggxhu-wek" Type="http://schemas.openxmlformats.org/officeDocument/2006/relationships/hyperlink" Target="https://dalil.kg/document/111338" TargetMode="External"/><Relationship Id="rIdatpxjpjawcoyak41ijgza" Type="http://schemas.openxmlformats.org/officeDocument/2006/relationships/hyperlink" Target="https://dalil.kg/document/203685" TargetMode="External"/><Relationship Id="rIdjn9f1pg9fo_so0jm1hjrs" Type="http://schemas.openxmlformats.org/officeDocument/2006/relationships/hyperlink" Target="https://dalil.kg/document/12340" TargetMode="External"/><Relationship Id="rId_mcduak9wnyunlz6kbvha" Type="http://schemas.openxmlformats.org/officeDocument/2006/relationships/hyperlink" Target="https://dalil.kg/document/100246" TargetMode="External"/><Relationship Id="rIdukintdnkd7senc_ledejn" Type="http://schemas.openxmlformats.org/officeDocument/2006/relationships/hyperlink" Target="https://dalil.kg/document/10024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iskukcnlj5ta0c3com9" Type="http://schemas.openxmlformats.org/officeDocument/2006/relationships/hyperlink" Target="https://dalil.kg/document/12339" TargetMode="External"/><Relationship Id="rIdeo_utqym4qtxnpggufx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2026-09-23T16:36:01.386Z</dcterms:created>
  <dcterms:modified xsi:type="dcterms:W3CDTF">2026-09-23T16:36:01.386Z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