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kxdkilspatpkzrnn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64jqmjninjuzruhk1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-mx5kpw2jhbyll2zz1q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h3mxnvujtffzr_m_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2myyuomw9sgrgk4n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подписанному 2 июля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Соглашения о финансировании (проект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Digital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подписанного 2 июля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подписанное 2 июля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стороной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4 октября 2018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(проект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Digital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подписанному 2 июля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Республика) между Кыргызской Республикой и Международной ассоциацией развития, подписанное 2 июля 2018 года в городе Бишкек, соответствует нормам </w:t>
      </w:r>
      <w:hyperlink w:history="1" r:id="rIdxgblr3ej7v5-vwoczs9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внедрение регионального и трансграничного подхода для улучшения широкополосного доступа к Интернету в странах Центральной Азии, не имеющих выхода к морю, и части Южной Азии, путем стимулирования инвестиций частного сектора в инфраструктуру и совершенствования государственной политики и нормативно-правового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Республика" имеет четыре логически связанных компонента: (1) компонент развития телекоммуникационной инфраструктуры (региональная инфраструктура цифровой связанности); (2) компонент по развитию цифровых платформ и "умных" решений (региональные центры обработки данных, цифровые платформы и интеллектуальные решения); (3) компонент по институциональному развитию и созданию благоприятной среды для цифровой экономики; (4) компонент по управлению программой и развитию цифрового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компонент "Региональная инфраструктура цифровой связанности" направлен на расширение кыргызской части магистральной сети волоконно-оптических линий связи и усиление трансграничных стыков. Также в рамках данного компонента предусматривается расширение пропускной способности и охвата государственной сети "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Net</w:t>
      </w:r>
      <w:r>
        <w:rPr>
          <w:rFonts w:ascii="Arial" w:cs="Arial" w:eastAsia="Arial" w:hAnsi="Arial"/>
          <w:sz w:val="24"/>
          <w:szCs w:val="24"/>
        </w:rPr>
        <w:t xml:space="preserve">", используемой исключительно в целях официальной государственной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компонент "Региональные центры обработки данных, цифровые платформы и интеллектуальные решения" направлен на создание и развитие: цифровых платформ и услуг на основе облачных технологий, регионального центра обработки данных "</w:t>
      </w:r>
      <w:r>
        <w:rPr>
          <w:rFonts w:ascii="Arial" w:cs="Arial" w:eastAsia="Arial" w:hAnsi="Arial"/>
          <w:sz w:val="24"/>
          <w:szCs w:val="24"/>
        </w:rPr>
        <w:t xml:space="preserve">Eurasia Cloud</w:t>
      </w:r>
      <w:r>
        <w:rPr>
          <w:rFonts w:ascii="Arial" w:cs="Arial" w:eastAsia="Arial" w:hAnsi="Arial"/>
          <w:sz w:val="24"/>
          <w:szCs w:val="24"/>
        </w:rPr>
        <w:t xml:space="preserve">" и государственного центра обработки данных "</w:t>
      </w:r>
      <w:r>
        <w:rPr>
          <w:rFonts w:ascii="Arial" w:cs="Arial" w:eastAsia="Arial" w:hAnsi="Arial"/>
          <w:sz w:val="24"/>
          <w:szCs w:val="24"/>
        </w:rPr>
        <w:t xml:space="preserve">Government Cloud</w:t>
      </w:r>
      <w:r>
        <w:rPr>
          <w:rFonts w:ascii="Arial" w:cs="Arial" w:eastAsia="Arial" w:hAnsi="Arial"/>
          <w:sz w:val="24"/>
          <w:szCs w:val="24"/>
        </w:rPr>
        <w:t xml:space="preserve">" (государственное облако), а также поддержку развития интеллектуальных решений для предоставления цифровых услуг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третьего компонента "Создание благоприятных условий для цифровой экономики" предусматривается: обеспечение правовой и институциональной основы реализации компонентов проекта; информационно-просветительская кампания; развитие цифровых навыков и компетенции, необходимых в условиях цифровой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компонент "Управление проектом" включает в себя мероприятия по мониторингу и оценке проекта, в том числе независимый финансовый аудит, экологический и социальный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проектом Соглашения о финансировании выделяемые Международной ассоциацией развития средства будут направлены на финансирование расходов на приобретение товаров, работ, услуг, консультационных услуг для реализации компонентов проекта, операционные расходы и повышение квалификации сотрудников исполнительного органа (Государственного комитета информационных технологий и связи Кыргызской Республики) и других государственных органов, задействованных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 финансировании Международная ассоциация развития предоставляет Кыргызской Республике сумму, эквивалентную 17200000 специальных прав заимствования в виде гранта, и сумму, эквивалентную 17200000 специальных прав заимствования в виде кредита. В соответствии с Соглашением о финансировании валютой платежей является доллар США. Следовательно, 17200000 специальных прав заимствования эквивалентны 25 миллионам долларов США (по обменному курсу, действующему на 31 января 2018 года (1 доллар США = 1,457 специальных прав заимствования, с округлением до ближайшей сотни тысяч).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кредита начинается с 15 апреля 2024 года. Комиссия за обслуживание кредита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резервирование неснятого остатка - 0,5%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обслуживание снятого остатка кредитных средств - 0,75% в год от выплаченных сумм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1d_mzjihdrnsdh2q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транспорту, коммуникациям, архитектуре и строительству, и одобрен </w:t>
      </w:r>
      <w:hyperlink w:history="1" r:id="rIdtnhihdjmcdx9sjlpli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2018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 июля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gs0uorbrglfqcl4zu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dalil.kg/document/12623</w:t>
      </w:r>
    </w:hyperlink>
  </w:p>
  <w:p>
    <w:pPr>
      <w:spacing w:after="0" w:before="40"/>
      <w:jc w:val="center"/>
    </w:pPr>
    <w:hyperlink w:history="1" r:id="rIddhyicropw_dw0jbw7g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kxdkilspatpkzrnngbh" Type="http://schemas.openxmlformats.org/officeDocument/2006/relationships/hyperlink" Target="https://dalil.kg/document/202913" TargetMode="External"/><Relationship Id="rIdv64jqmjninjuzruhk1pfe" Type="http://schemas.openxmlformats.org/officeDocument/2006/relationships/hyperlink" Target="https://dalil.kg/document/203166" TargetMode="External"/><Relationship Id="rId-mx5kpw2jhbyll2zz1qc6" Type="http://schemas.openxmlformats.org/officeDocument/2006/relationships/hyperlink" Target="https://dalil.kg/document/205286" TargetMode="External"/><Relationship Id="rIdidh3mxnvujtffzr_m_qso" Type="http://schemas.openxmlformats.org/officeDocument/2006/relationships/hyperlink" Target="https://dalil.kg/document/12623#p1" TargetMode="External"/><Relationship Id="rIdrx2myyuomw9sgrgk4nb_w" Type="http://schemas.openxmlformats.org/officeDocument/2006/relationships/hyperlink" Target="https://dalil.kg/document/12623#p2" TargetMode="External"/><Relationship Id="rIdxgblr3ej7v5-vwoczs96c" Type="http://schemas.openxmlformats.org/officeDocument/2006/relationships/hyperlink" Target="https://dalil.kg/document/202913" TargetMode="External"/><Relationship Id="rIdbq1d_mzjihdrnsdh2q4om" Type="http://schemas.openxmlformats.org/officeDocument/2006/relationships/hyperlink" Target="https://dalil.kg/document/205286" TargetMode="External"/><Relationship Id="rIdtnhihdjmcdx9sjlpliii1" Type="http://schemas.openxmlformats.org/officeDocument/2006/relationships/hyperlink" Target="https://dalil.kg/document/2164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gs0uorbrglfqcl4zu92" Type="http://schemas.openxmlformats.org/officeDocument/2006/relationships/hyperlink" Target="https://dalil.kg/document/12623" TargetMode="External"/><Relationship Id="rIddhyicropw_dw0jbw7gi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2026-10-04T13:56:23.567Z</dcterms:created>
  <dcterms:modified xsi:type="dcterms:W3CDTF">2026-10-04T13:56:23.567Z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