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17 сентября 2018 года № 429</w:t>
      </w:r>
    </w:p>
    <w:p>
      <w:pPr>
        <w:spacing w:after="120"/>
        <w:jc w:val="both"/>
      </w:pPr>
      <w:r>
        <w:rPr>
          <w:rFonts w:ascii="Arial" w:cs="Arial" w:eastAsia="Arial" w:hAnsi="Arial"/>
          <w:sz w:val="28"/>
          <w:szCs w:val="28"/>
        </w:rPr>
        <w:t xml:space="preserve">О заключении Правительства Кыргызской Республики на проекты законов Кыргызской Республики «О порядке делегирования органам местного самоуправления отдельных государственных полномочий по организации предоставления государственных гарантированных социальных услуг» 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31 </w:t>
      </w:r>
      <w:hyperlink w:history="1" r:id="rId2ucshvt-83yzjewp0zccy">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hcvnrwcxq4ylj1lxik4nj">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проекты законов Кыргызской Республики «О порядке делегирования органам местного самоуправления отдельных государственных полномочий по организации предоставления государственных гарантированных социальных услуг» и «О внесении изменений и дополнений в некоторые законодательные акты Кыргызской Республики», инициированные депутатами Жогорку Кенеша Кыргызской Республики Токторовым А.С., Жамалдиновым З.И., Нурматовым К.С., Бокоевым К.С., Тиллаевым Т.Г., Примовым У.Б., Саляновой А.Ж., Никитенко Н.В., Самигуллиной А.Э., Касымалиевой А.К., Икрамовым Т.И., Строковой Е.Г., Акаевым Ж.К., Момбековым Р.Ч..</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Одобрено </w:t>
      </w:r>
      <w:hyperlink w:history="1" r:id="rIdbhhgcnnu3whmrjsexftj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w:t>
      </w:r>
    </w:p>
    <w:p>
      <w:pPr>
        <w:spacing w:after="120"/>
        <w:jc w:val="right"/>
      </w:pPr>
      <w:r>
        <w:rPr>
          <w:rFonts w:ascii="Arial" w:cs="Arial" w:eastAsia="Arial" w:hAnsi="Arial"/>
          <w:sz w:val="24"/>
          <w:szCs w:val="24"/>
        </w:rPr>
        <w:t xml:space="preserve">Кыргызской Республики</w:t>
      </w:r>
    </w:p>
    <w:p>
      <w:pPr>
        <w:spacing w:after="120"/>
        <w:jc w:val="right"/>
      </w:pPr>
      <w:r>
        <w:rPr>
          <w:rFonts w:ascii="Arial" w:cs="Arial" w:eastAsia="Arial" w:hAnsi="Arial"/>
          <w:sz w:val="24"/>
          <w:szCs w:val="24"/>
        </w:rPr>
        <w:t xml:space="preserve">от 17 сентября 2018 года № 429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Заключение</w:t>
      </w:r>
    </w:p>
    <w:p>
      <w:pPr>
        <w:spacing w:after="120"/>
        <w:jc w:val="both"/>
      </w:pPr>
      <w:r>
        <w:rPr>
          <w:rFonts w:ascii="Arial" w:cs="Arial" w:eastAsia="Arial" w:hAnsi="Arial"/>
          <w:sz w:val="28"/>
          <w:szCs w:val="28"/>
        </w:rPr>
        <w:t xml:space="preserve">Правительства Кыргызской Республики на проекты законов Кыргызской Республики «О порядке делегирования органам местного самоуправления отдельных государственных полномочий по организации предоставления государственных гарантированных социальных услуг» 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31 </w:t>
      </w:r>
      <w:hyperlink w:history="1" r:id="rId9ymgiyjiwauqunj3ib0vs">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проекты законов Кыргызской Республики «О порядке делегирования органам местного самоуправления отдельных государственных полномочий по организации предоставления государственных гарантированных социальных услуг» и «О внесении изменений и дополнений в некоторые законодательные акты Кыргызской Республики», приходит к следующему заключению.</w:t>
      </w:r>
    </w:p>
    <w:p>
      <w:pPr>
        <w:spacing w:after="120"/>
        <w:jc w:val="both"/>
      </w:pPr>
      <w:r>
        <w:rPr>
          <w:rFonts w:ascii="Arial" w:cs="Arial" w:eastAsia="Arial" w:hAnsi="Arial"/>
          <w:sz w:val="24"/>
          <w:szCs w:val="24"/>
        </w:rPr>
        <w:t xml:space="preserve">По проекту Закона Кыргызской Республики «О порядке делегирования органам местного самоуправления отдельных государственных полномочий по организации предоставления государственных гарантированных социальных услуг».</w:t>
      </w:r>
    </w:p>
    <w:p>
      <w:pPr>
        <w:spacing w:after="120"/>
        <w:jc w:val="both"/>
      </w:pPr>
      <w:r>
        <w:rPr>
          <w:rFonts w:ascii="Arial" w:cs="Arial" w:eastAsia="Arial" w:hAnsi="Arial"/>
          <w:sz w:val="24"/>
          <w:szCs w:val="24"/>
        </w:rPr>
        <w:t xml:space="preserve">1. Согласно статье 1 законопроекта, данный Закон определяет правовые, организационные и финансовые основы делегирования органам местного самоуправления отдельных государственных полномочий по организации предоставления государственных гарантированных социальных услуг, предоставляемых в полустационарных организациях и учреждениях социального обслуживания, а также порядок исполнения, приостановления и прекращения их исполнения.</w:t>
      </w:r>
    </w:p>
    <w:p>
      <w:pPr>
        <w:spacing w:after="120"/>
        <w:jc w:val="both"/>
      </w:pPr>
      <w:r>
        <w:rPr>
          <w:rFonts w:ascii="Arial" w:cs="Arial" w:eastAsia="Arial" w:hAnsi="Arial"/>
          <w:sz w:val="24"/>
          <w:szCs w:val="24"/>
        </w:rPr>
        <w:t xml:space="preserve">Вместе с тем следует отметить, что статьей 3 </w:t>
      </w:r>
      <w:hyperlink w:history="1" r:id="rIdrradbbkcoc5hb6rahgft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порядке делегирования органам местного самоуправления отдельных государственных полномочий» установлен порядок и требования к делегированию государственных полномочий органам местного самоуправления.</w:t>
      </w:r>
    </w:p>
    <w:p>
      <w:pPr>
        <w:spacing w:after="120"/>
        <w:jc w:val="both"/>
      </w:pPr>
      <w:r>
        <w:rPr>
          <w:rFonts w:ascii="Arial" w:cs="Arial" w:eastAsia="Arial" w:hAnsi="Arial"/>
          <w:sz w:val="24"/>
          <w:szCs w:val="24"/>
        </w:rPr>
        <w:t xml:space="preserve">Однако положения законопроекта не соответствуют требованиям вышеуказанного Закона, в связи с чем структура и содержание законопроекта требуют качественной доработки.</w:t>
      </w:r>
    </w:p>
    <w:p>
      <w:pPr>
        <w:spacing w:after="120"/>
        <w:jc w:val="both"/>
      </w:pPr>
      <w:r>
        <w:rPr>
          <w:rFonts w:ascii="Arial" w:cs="Arial" w:eastAsia="Arial" w:hAnsi="Arial"/>
          <w:sz w:val="24"/>
          <w:szCs w:val="24"/>
        </w:rPr>
        <w:t xml:space="preserve">2. Необходимо отметить, что в статье 3 </w:t>
      </w:r>
      <w:hyperlink w:history="1" r:id="rIdhiynmlf_iencttjqcomb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социального обслуживания населения в Кыргызской Республике» приводятся такие понятия, как «социальные услуги», «социально-бытовые услуги», «социально-медицинские услуги», «психолого-педагогические услуги», «социально-правовые услуги», «социально- психологические», разъясняющие их значение.</w:t>
      </w:r>
    </w:p>
    <w:p>
      <w:pPr>
        <w:spacing w:after="120"/>
        <w:jc w:val="both"/>
      </w:pPr>
      <w:r>
        <w:rPr>
          <w:rFonts w:ascii="Arial" w:cs="Arial" w:eastAsia="Arial" w:hAnsi="Arial"/>
          <w:sz w:val="24"/>
          <w:szCs w:val="24"/>
        </w:rPr>
        <w:t xml:space="preserve">При этом отмечаем, что в части 1 статьи 3 законопроекта предусмотрены аналогичные понятия, содержание которых не соответствует понятиям, приведенным в вышеуказанном Законе.</w:t>
      </w:r>
    </w:p>
    <w:p>
      <w:pPr>
        <w:spacing w:after="120"/>
        <w:jc w:val="both"/>
      </w:pPr>
      <w:r>
        <w:rPr>
          <w:rFonts w:ascii="Arial" w:cs="Arial" w:eastAsia="Arial" w:hAnsi="Arial"/>
          <w:sz w:val="24"/>
          <w:szCs w:val="24"/>
        </w:rPr>
        <w:t xml:space="preserve">В связи с этим, а также во избежание спорных ситуаций в правоприменительной практике и недопущения противоречий в нормативных правовых актах, предлагаем термины, указанные в части 1 статьи 3 законопроекта, привести в соответствие с вышеназванным Законом.</w:t>
      </w:r>
    </w:p>
    <w:p>
      <w:pPr>
        <w:spacing w:after="120"/>
        <w:jc w:val="both"/>
      </w:pPr>
      <w:r>
        <w:rPr>
          <w:rFonts w:ascii="Arial" w:cs="Arial" w:eastAsia="Arial" w:hAnsi="Arial"/>
          <w:sz w:val="24"/>
          <w:szCs w:val="24"/>
        </w:rPr>
        <w:t xml:space="preserve">Также предлагаем определить, что подразумевает формулировка «государственные гарантированные социальные услуги», поскольку законопроект не предусматривает положения, разъясняющие значение используемых терминов.</w:t>
      </w:r>
    </w:p>
    <w:p>
      <w:pPr>
        <w:spacing w:after="120"/>
        <w:jc w:val="both"/>
      </w:pPr>
      <w:r>
        <w:rPr>
          <w:rFonts w:ascii="Arial" w:cs="Arial" w:eastAsia="Arial" w:hAnsi="Arial"/>
          <w:sz w:val="24"/>
          <w:szCs w:val="24"/>
        </w:rPr>
        <w:t xml:space="preserve">3. Учитывая, что согласно части 1 статьи 9 </w:t>
      </w:r>
      <w:hyperlink w:history="1" r:id="rIdxspe6xttc8lj-k2cyi3t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действуют со дня вступления их в силу и подлежат исполнению, часть 2 статьи 3 законопроекта предлагаем исключить.</w:t>
      </w:r>
    </w:p>
    <w:p>
      <w:pPr>
        <w:spacing w:after="120"/>
        <w:jc w:val="both"/>
      </w:pPr>
      <w:r>
        <w:rPr>
          <w:rFonts w:ascii="Arial" w:cs="Arial" w:eastAsia="Arial" w:hAnsi="Arial"/>
          <w:sz w:val="24"/>
          <w:szCs w:val="24"/>
        </w:rPr>
        <w:t xml:space="preserve">4. Пунктом 5 части 3 статьи 9 законопроекта муниципальный служащий наделяется полномочием по определению номинальной стоимости социального талона.</w:t>
      </w:r>
    </w:p>
    <w:p>
      <w:pPr>
        <w:spacing w:after="120"/>
        <w:jc w:val="both"/>
      </w:pPr>
      <w:r>
        <w:rPr>
          <w:rFonts w:ascii="Arial" w:cs="Arial" w:eastAsia="Arial" w:hAnsi="Arial"/>
          <w:sz w:val="24"/>
          <w:szCs w:val="24"/>
        </w:rPr>
        <w:t xml:space="preserve">Между тем следует учесть, что согласно части 4 статьи 52 </w:t>
      </w:r>
      <w:hyperlink w:history="1" r:id="rIdksnwrgnd6idawoiklgcm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 номинальная стоимость социального талона определяется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5. В пункте 1 части 1 статьи 11 законопроекта предусматривается, что «осуществление органами местного самоуправления делегированных государственных полномочий по организации предоставления государственных гарантированных социальных услуг может быть прекращено в случаях истечения срока действия настоящего Закона».</w:t>
      </w:r>
    </w:p>
    <w:p>
      <w:pPr>
        <w:spacing w:after="120"/>
        <w:jc w:val="both"/>
      </w:pPr>
      <w:r>
        <w:rPr>
          <w:rFonts w:ascii="Arial" w:cs="Arial" w:eastAsia="Arial" w:hAnsi="Arial"/>
          <w:sz w:val="24"/>
          <w:szCs w:val="24"/>
        </w:rPr>
        <w:t xml:space="preserve">При этом следует заметить, что согласно части 1 статьи 10 </w:t>
      </w:r>
      <w:hyperlink w:history="1" r:id="rIdr2fp6eu0jt0egqoeypio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одним из случаев прекращения действия нормативного правового акта (структурного элемента) является истечение срока, на который был рассчитан нормативный правовой акт (структурный элемент).</w:t>
      </w:r>
    </w:p>
    <w:p>
      <w:pPr>
        <w:spacing w:after="120"/>
        <w:jc w:val="both"/>
      </w:pPr>
      <w:r>
        <w:rPr>
          <w:rFonts w:ascii="Arial" w:cs="Arial" w:eastAsia="Arial" w:hAnsi="Arial"/>
          <w:sz w:val="24"/>
          <w:szCs w:val="24"/>
        </w:rPr>
        <w:t xml:space="preserve">Однако срок действия данного законопроекта не обозначен.</w:t>
      </w:r>
    </w:p>
    <w:p>
      <w:pPr>
        <w:spacing w:after="120"/>
        <w:jc w:val="both"/>
      </w:pPr>
      <w:r>
        <w:rPr>
          <w:rFonts w:ascii="Arial" w:cs="Arial" w:eastAsia="Arial" w:hAnsi="Arial"/>
          <w:sz w:val="24"/>
          <w:szCs w:val="24"/>
        </w:rPr>
        <w:t xml:space="preserve">6. В пункте 3 части 3 статьи 11 законопроекта формулировку «если эти нарушения создали условия, затрудняющие исполнение указанных делегированных государственных полномочий органами местного самоуправления» предлагаем пересмотреть, поскольку данная формулировка создает коррупциогенный характер и может привести к нецелевому использованию органами местного самоуправления материальных, финансовых и иных средств, полученных для осуществления делегированных государственных полномочий, а также даст возможность избежать ответственности.</w:t>
      </w:r>
    </w:p>
    <w:p>
      <w:pPr>
        <w:spacing w:after="120"/>
        <w:jc w:val="both"/>
      </w:pPr>
      <w:r>
        <w:rPr>
          <w:rFonts w:ascii="Arial" w:cs="Arial" w:eastAsia="Arial" w:hAnsi="Arial"/>
          <w:sz w:val="24"/>
          <w:szCs w:val="24"/>
        </w:rPr>
        <w:t xml:space="preserve">7. В пункте 1 части 5 статьи 11 законопроекта указывается, что «прекращение осуществления государственных полномочий, делегированных на основании настоящего Закона, по инициативе органов местного самоуправления возможно в случаях, если выполнение переданных государственных полномочий становится невозможным по причинам, не зависящим от органов местного самоуправления».</w:t>
      </w:r>
    </w:p>
    <w:p>
      <w:pPr>
        <w:spacing w:after="120"/>
        <w:jc w:val="both"/>
      </w:pPr>
      <w:r>
        <w:rPr>
          <w:rFonts w:ascii="Arial" w:cs="Arial" w:eastAsia="Arial" w:hAnsi="Arial"/>
          <w:sz w:val="24"/>
          <w:szCs w:val="24"/>
        </w:rPr>
        <w:t xml:space="preserve">Однако следует отметить, что предложенная формулировка носит расплывчатый характер, поскольку не ясно, о каких именно конкретно причинах идет речь.</w:t>
      </w:r>
    </w:p>
    <w:p>
      <w:pPr>
        <w:spacing w:after="120"/>
        <w:jc w:val="both"/>
      </w:pPr>
      <w:r>
        <w:rPr>
          <w:rFonts w:ascii="Arial" w:cs="Arial" w:eastAsia="Arial" w:hAnsi="Arial"/>
          <w:sz w:val="24"/>
          <w:szCs w:val="24"/>
        </w:rPr>
        <w:t xml:space="preserve">Так как обобщенные и неконкретные формулировки могут способствовать уклонению от выполнения делегированных государственных полномочий, предлагаем вышеуказанную формулировку пересмотреть.</w:t>
      </w:r>
    </w:p>
    <w:p>
      <w:pPr>
        <w:spacing w:after="120"/>
        <w:jc w:val="both"/>
      </w:pPr>
      <w:r>
        <w:rPr>
          <w:rFonts w:ascii="Arial" w:cs="Arial" w:eastAsia="Arial" w:hAnsi="Arial"/>
          <w:sz w:val="24"/>
          <w:szCs w:val="24"/>
        </w:rPr>
        <w:t xml:space="preserve">8. Согласно части 2 статьи 30 </w:t>
      </w:r>
      <w:hyperlink w:history="1" r:id="rId0kzmpc2qy18ltaeqvdjr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закон вступает в силу по истечении десяти дней со дня официального опубликования, если иное не предусмотрено в самом законе или в законе о порядке введения его в действие.</w:t>
      </w:r>
    </w:p>
    <w:p>
      <w:pPr>
        <w:spacing w:after="120"/>
        <w:jc w:val="both"/>
      </w:pPr>
      <w:r>
        <w:rPr>
          <w:rFonts w:ascii="Arial" w:cs="Arial" w:eastAsia="Arial" w:hAnsi="Arial"/>
          <w:sz w:val="24"/>
          <w:szCs w:val="24"/>
        </w:rPr>
        <w:t xml:space="preserve">При этом в части 1 статьи 13 законопроекта не указан конкретный срок вступления в силу законопроекта, в связи с чем предлагаем его предусмотреть.</w:t>
      </w:r>
    </w:p>
    <w:p>
      <w:pPr>
        <w:spacing w:after="120"/>
        <w:jc w:val="both"/>
      </w:pPr>
      <w:r>
        <w:rPr>
          <w:rFonts w:ascii="Arial" w:cs="Arial" w:eastAsia="Arial" w:hAnsi="Arial"/>
          <w:sz w:val="24"/>
          <w:szCs w:val="24"/>
        </w:rPr>
        <w:t xml:space="preserve">9. Пунктом 1 части 2 статьи 13 законопроекта Правительству Кыргызской Республики поручается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Вместе с тем отмечаем, что в случае принятия данного законопроекта Правительству Кыргызской Республики потребуется определенное время для приведения своих решений в соответствие с нормами принятого Закона.</w:t>
      </w:r>
    </w:p>
    <w:p>
      <w:pPr>
        <w:spacing w:after="120"/>
        <w:jc w:val="both"/>
      </w:pPr>
      <w:r>
        <w:rPr>
          <w:rFonts w:ascii="Arial" w:cs="Arial" w:eastAsia="Arial" w:hAnsi="Arial"/>
          <w:sz w:val="24"/>
          <w:szCs w:val="24"/>
        </w:rPr>
        <w:t xml:space="preserve">В связи с этим, учитывая, что законопроект предусматривает разработку подзаконных нормативных правовых актов, а также принимая во внимание длительность процедур их разработки, согласования и продвижения, предлагаем в пункте 1 части 2 статьи 13 законопроекта определить оптимальный срок для исполнения поручения.</w:t>
      </w:r>
    </w:p>
    <w:p>
      <w:pPr>
        <w:spacing w:after="120"/>
        <w:jc w:val="both"/>
      </w:pPr>
      <w:r>
        <w:rPr>
          <w:rFonts w:ascii="Arial" w:cs="Arial" w:eastAsia="Arial" w:hAnsi="Arial"/>
          <w:sz w:val="24"/>
          <w:szCs w:val="24"/>
        </w:rPr>
        <w:t xml:space="preserve">Аналогичное замечание по статье 4 проекта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10. Пунктом 2 части 2 статьи 13 законопроекта Правительству Кыргызской Республики поручается «при разработке проекта республиканского бюджета на 2018 год предусмотреть в них расходы в размере десяти миллионов сомов для пилотирования делегирования отдельных государственных полномочий по организации и предоставлению государством гарантированных полустационарных социальных услуг органам местного самоуправления в двух пилотных районах Кыргызской Республики».</w:t>
      </w:r>
    </w:p>
    <w:p>
      <w:pPr>
        <w:spacing w:after="120"/>
        <w:jc w:val="both"/>
      </w:pPr>
      <w:r>
        <w:rPr>
          <w:rFonts w:ascii="Arial" w:cs="Arial" w:eastAsia="Arial" w:hAnsi="Arial"/>
          <w:sz w:val="24"/>
          <w:szCs w:val="24"/>
        </w:rPr>
        <w:t xml:space="preserve">Исходя из этого следует, что принятие данного законопроекта предусматривает дополнительные расходы из республиканского бюджета.</w:t>
      </w:r>
    </w:p>
    <w:p>
      <w:pPr>
        <w:spacing w:after="120"/>
        <w:jc w:val="both"/>
      </w:pPr>
      <w:r>
        <w:rPr>
          <w:rFonts w:ascii="Arial" w:cs="Arial" w:eastAsia="Arial" w:hAnsi="Arial"/>
          <w:sz w:val="24"/>
          <w:szCs w:val="24"/>
        </w:rPr>
        <w:t xml:space="preserve">Вместе с тем необходимо отметить, что в соответствии с </w:t>
      </w:r>
      <w:hyperlink w:history="1" r:id="rIdfmrynqf8xjp9thgcnb2t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2018 год и прогнозе на 2019-2020 годы» республиканский бюджет на 2018 год утвержден, и соответственно вышеуказанные средства в республиканском бюджете не предусмотрены.</w:t>
      </w:r>
    </w:p>
    <w:p>
      <w:pPr>
        <w:spacing w:after="120"/>
        <w:jc w:val="both"/>
      </w:pPr>
      <w:r>
        <w:rPr>
          <w:rFonts w:ascii="Arial" w:cs="Arial" w:eastAsia="Arial" w:hAnsi="Arial"/>
          <w:sz w:val="24"/>
          <w:szCs w:val="24"/>
        </w:rPr>
        <w:t xml:space="preserve">Согласно статье 20 </w:t>
      </w:r>
      <w:hyperlink w:history="1" r:id="rId4xzly87ripukihrtim6g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делегирование государственных полномочий допускается лишь в случаях, когда государство одновременно с делегированием государственных полномочий предусматривает целевые трансферты из республиканского бюджета в местный бюджет или определяет иные источники финансирования, необходимые для осуществления делегированных государственных полномочий.</w:t>
      </w:r>
    </w:p>
    <w:p>
      <w:pPr>
        <w:spacing w:after="120"/>
        <w:jc w:val="both"/>
      </w:pPr>
      <w:r>
        <w:rPr>
          <w:rFonts w:ascii="Arial" w:cs="Arial" w:eastAsia="Arial" w:hAnsi="Arial"/>
          <w:sz w:val="24"/>
          <w:szCs w:val="24"/>
        </w:rPr>
        <w:t xml:space="preserve">В связи с этим необходимо отметить, что в соответствии со </w:t>
      </w:r>
      <w:r>
        <w:rPr>
          <w:rFonts w:ascii="Arial" w:cs="Arial" w:eastAsia="Arial" w:hAnsi="Arial"/>
          <w:sz w:val="24"/>
          <w:szCs w:val="24"/>
        </w:rPr>
        <w:t xml:space="preserve">статьей 26</w:t>
      </w:r>
      <w:r>
        <w:rPr>
          <w:rFonts w:ascii="Arial" w:cs="Arial" w:eastAsia="Arial" w:hAnsi="Arial"/>
          <w:sz w:val="24"/>
          <w:szCs w:val="24"/>
        </w:rPr>
        <w:t xml:space="preserve"> </w:t>
      </w:r>
      <w:hyperlink w:history="1" r:id="rIdkpodswjj3diyfi-7arto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120"/>
        <w:jc w:val="both"/>
      </w:pPr>
      <w:r>
        <w:rPr>
          <w:rFonts w:ascii="Arial" w:cs="Arial" w:eastAsia="Arial" w:hAnsi="Arial"/>
          <w:sz w:val="24"/>
          <w:szCs w:val="24"/>
        </w:rPr>
        <w:t xml:space="preserve">По проекту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1. Следует отметить, что наименование законопроекта не соответствует требованиям пункта 9 </w:t>
      </w:r>
      <w:hyperlink w:history="1" r:id="rIdtto5sintirpzilb8tyubp">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hohui7km7z25nev-ynle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в связи с чем предлагаем его привести в соответствие с вышеуказанной Инструкцией.</w:t>
      </w:r>
    </w:p>
    <w:p>
      <w:pPr>
        <w:spacing w:after="120"/>
        <w:jc w:val="both"/>
      </w:pPr>
      <w:r>
        <w:rPr>
          <w:rFonts w:ascii="Arial" w:cs="Arial" w:eastAsia="Arial" w:hAnsi="Arial"/>
          <w:sz w:val="24"/>
          <w:szCs w:val="24"/>
        </w:rPr>
        <w:t xml:space="preserve">2. Статьей 3 законопроекта предусматривается дополнить статью 11 Закона Кыргызской Республики «Об основах социального обслуживания населения в Кыргызской Республике» нормой о том, что «уполномоченный государственный орган при планировании и организации предоставления гарантированных государственных социальных услуг на соответствующей территории учитывает результаты оценки потребностей населения в гарантированных государственных социальных услугах, предоставленных органами местного самоуправления соответствующей территории».</w:t>
      </w:r>
    </w:p>
    <w:p>
      <w:pPr>
        <w:spacing w:after="120"/>
        <w:jc w:val="both"/>
      </w:pPr>
      <w:r>
        <w:rPr>
          <w:rFonts w:ascii="Arial" w:cs="Arial" w:eastAsia="Arial" w:hAnsi="Arial"/>
          <w:sz w:val="24"/>
          <w:szCs w:val="24"/>
        </w:rPr>
        <w:t xml:space="preserve">Вместе с тем, следует отметить, что закрепление на законодательном уровне каких-либо норм, касающихся деятельности, полномочий и функций органов исполнительной власти, подчиненных Правительству Кыргызской Республики, противоречит статьям 10 и 11 </w:t>
      </w:r>
      <w:hyperlink w:history="1" r:id="rIdkhu1nhbsjtps98lu8daui">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Так, в соответствии со статьей 11 указанного конституционного Закона Правительство Кыргызской Республики, исходя из полномочий, указанных в названном конституционном Законе, распределяет функции по их реализации между министерствами, государственными комитетами, административными ведомствами и местными государственными администрациями, а также утверждает положения о названных государственных органах.</w:t>
      </w:r>
    </w:p>
    <w:p>
      <w:pPr>
        <w:spacing w:after="120"/>
        <w:jc w:val="both"/>
      </w:pPr>
      <w:r>
        <w:rPr>
          <w:rFonts w:ascii="Arial" w:cs="Arial" w:eastAsia="Arial" w:hAnsi="Arial"/>
          <w:sz w:val="24"/>
          <w:szCs w:val="24"/>
        </w:rPr>
        <w:t xml:space="preserve">С учетом изложенного предлагаем пересмотреть статью 3 законопроекта.</w:t>
      </w:r>
    </w:p>
    <w:p>
      <w:pPr>
        <w:spacing w:after="120"/>
        <w:jc w:val="both"/>
      </w:pPr>
      <w:r>
        <w:rPr>
          <w:rFonts w:ascii="Arial" w:cs="Arial" w:eastAsia="Arial" w:hAnsi="Arial"/>
          <w:sz w:val="24"/>
          <w:szCs w:val="24"/>
        </w:rPr>
        <w:t xml:space="preserve">3. В соответствии со статьями 22 и 23 </w:t>
      </w:r>
      <w:hyperlink w:history="1" r:id="rIdpfuvprvb7zwztuqiu-ff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представленный проект Закона подлежит общественному обсуждению посредством размещения на официальном сайте нормотворческого органа. Информация о результатах общественного обсуждения должна отражаться в справке-обосновании к проекту (статья 25 указанного Закона). При этом отмечаем, что представленная справка-обоснование не соответствует требованиям статьи 25 обозначенного Закона.</w:t>
      </w:r>
    </w:p>
    <w:p>
      <w:pPr>
        <w:spacing w:after="120"/>
        <w:jc w:val="both"/>
      </w:pPr>
      <w:r>
        <w:rPr>
          <w:rFonts w:ascii="Arial" w:cs="Arial" w:eastAsia="Arial" w:hAnsi="Arial"/>
          <w:sz w:val="24"/>
          <w:szCs w:val="24"/>
        </w:rPr>
        <w:t xml:space="preserve">Также отмечаем, что согласно статье 11 </w:t>
      </w:r>
      <w:hyperlink w:history="1" r:id="rIdssiqy6f9lzcatr2hcvks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должны быть внутренне согласованными, логично построенными и соответствовать нормотворческой технике.</w:t>
      </w:r>
    </w:p>
    <w:p>
      <w:pPr>
        <w:spacing w:after="120"/>
        <w:jc w:val="both"/>
      </w:pPr>
      <w:r>
        <w:rPr>
          <w:rFonts w:ascii="Arial" w:cs="Arial" w:eastAsia="Arial" w:hAnsi="Arial"/>
          <w:sz w:val="24"/>
          <w:szCs w:val="24"/>
        </w:rPr>
        <w:t xml:space="preserve">Однако положения представленного проекта Закона не соответствуют требованиям вышеуказанного Закона и </w:t>
      </w:r>
      <w:hyperlink w:history="1" r:id="rId5w8sv0qpx6aoqu98f5mk-">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ibgv94ul293psj8uqvzi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w:t>
      </w:r>
    </w:p>
    <w:p>
      <w:pPr>
        <w:spacing w:after="120"/>
        <w:jc w:val="both"/>
      </w:pPr>
      <w:r>
        <w:rPr>
          <w:rFonts w:ascii="Arial" w:cs="Arial" w:eastAsia="Arial" w:hAnsi="Arial"/>
          <w:sz w:val="24"/>
          <w:szCs w:val="24"/>
        </w:rPr>
        <w:t xml:space="preserve">На основании вышеизложенного, с учетом вышеуказанных замечаний и предложений, изложенных в настоящем заключении, Правительство Кыргызской Республики считает принятие рассматриваемых законопроектов нецелесообразным.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ozxgosotfjw6qzy3wg6r">
      <w:r>
        <w:rPr>
          <w:rFonts w:ascii="Arial" w:cs="Arial" w:eastAsia="Arial" w:hAnsi="Arial"/>
          <w:color w:val="132D3F"/>
          <w:sz w:val="16"/>
          <w:szCs w:val="16"/>
          <w:u w:val="single"/>
        </w:rPr>
        <w:t xml:space="preserve">dalil.kg/document/12631</w:t>
      </w:r>
    </w:hyperlink>
  </w:p>
  <w:p>
    <w:pPr>
      <w:spacing w:after="0" w:before="40"/>
      <w:jc w:val="center"/>
    </w:pPr>
    <w:hyperlink w:history="1" r:id="rIdgxg_9y6st6qug9i0sd9k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ucshvt-83yzjewp0zccy" Type="http://schemas.openxmlformats.org/officeDocument/2006/relationships/hyperlink" Target="https://dalil.kg/document/203685" TargetMode="External"/><Relationship Id="rIdhcvnrwcxq4ylj1lxik4nj" Type="http://schemas.openxmlformats.org/officeDocument/2006/relationships/hyperlink" Target="https://dalil.kg/document/12631#p1" TargetMode="External"/><Relationship Id="rIdbhhgcnnu3whmrjsexftjx" Type="http://schemas.openxmlformats.org/officeDocument/2006/relationships/hyperlink" Target="https://dalil.kg/document/12631" TargetMode="External"/><Relationship Id="rId9ymgiyjiwauqunj3ib0vs" Type="http://schemas.openxmlformats.org/officeDocument/2006/relationships/hyperlink" Target="https://dalil.kg/document/203685" TargetMode="External"/><Relationship Id="rIdrradbbkcoc5hb6rahgftl" Type="http://schemas.openxmlformats.org/officeDocument/2006/relationships/hyperlink" Target="https://dalil.kg/document/203935" TargetMode="External"/><Relationship Id="rIdhiynmlf_iencttjqcombn" Type="http://schemas.openxmlformats.org/officeDocument/2006/relationships/hyperlink" Target="https://dalil.kg/document/943" TargetMode="External"/><Relationship Id="rIdxspe6xttc8lj-k2cyi3td" Type="http://schemas.openxmlformats.org/officeDocument/2006/relationships/hyperlink" Target="https://dalil.kg/document/202591" TargetMode="External"/><Relationship Id="rIdksnwrgnd6idawoiklgcm8" Type="http://schemas.openxmlformats.org/officeDocument/2006/relationships/hyperlink" Target="https://dalil.kg/document/111577" TargetMode="External"/><Relationship Id="rIdr2fp6eu0jt0egqoeypiov" Type="http://schemas.openxmlformats.org/officeDocument/2006/relationships/hyperlink" Target="https://dalil.kg/document/202591" TargetMode="External"/><Relationship Id="rId0kzmpc2qy18ltaeqvdjru" Type="http://schemas.openxmlformats.org/officeDocument/2006/relationships/hyperlink" Target="https://dalil.kg/document/202591" TargetMode="External"/><Relationship Id="rIdfmrynqf8xjp9thgcnb2tc" Type="http://schemas.openxmlformats.org/officeDocument/2006/relationships/hyperlink" Target="https://dalil.kg/document/111727" TargetMode="External"/><Relationship Id="rId4xzly87ripukihrtim6gm" Type="http://schemas.openxmlformats.org/officeDocument/2006/relationships/hyperlink" Target="https://dalil.kg/document/203102" TargetMode="External"/><Relationship Id="rIdkpodswjj3diyfi-7artoi" Type="http://schemas.openxmlformats.org/officeDocument/2006/relationships/hyperlink" Target="https://dalil.kg/document/202591" TargetMode="External"/><Relationship Id="rIdtto5sintirpzilb8tyubp" Type="http://schemas.openxmlformats.org/officeDocument/2006/relationships/hyperlink" Target="https://dalil.kg/document/76491" TargetMode="External"/><Relationship Id="rIdhohui7km7z25nev-ynlez" Type="http://schemas.openxmlformats.org/officeDocument/2006/relationships/hyperlink" Target="https://dalil.kg/document/76490" TargetMode="External"/><Relationship Id="rIdkhu1nhbsjtps98lu8daui" Type="http://schemas.openxmlformats.org/officeDocument/2006/relationships/hyperlink" Target="https://dalil.kg/document/203685" TargetMode="External"/><Relationship Id="rIdpfuvprvb7zwztuqiu-ffe" Type="http://schemas.openxmlformats.org/officeDocument/2006/relationships/hyperlink" Target="https://dalil.kg/document/202591" TargetMode="External"/><Relationship Id="rIdssiqy6f9lzcatr2hcvksy" Type="http://schemas.openxmlformats.org/officeDocument/2006/relationships/hyperlink" Target="https://dalil.kg/document/202591" TargetMode="External"/><Relationship Id="rId5w8sv0qpx6aoqu98f5mk-" Type="http://schemas.openxmlformats.org/officeDocument/2006/relationships/hyperlink" Target="https://dalil.kg/document/76491" TargetMode="External"/><Relationship Id="rIdibgv94ul293psj8uqvzix" Type="http://schemas.openxmlformats.org/officeDocument/2006/relationships/hyperlink" Target="https://dalil.kg/document/76490"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ozxgosotfjw6qzy3wg6r" Type="http://schemas.openxmlformats.org/officeDocument/2006/relationships/hyperlink" Target="https://dalil.kg/document/12631" TargetMode="External"/><Relationship Id="rIdgxg_9y6st6qug9i0sd9k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2026-10-05T08:06:11.217Z</dcterms:created>
  <dcterms:modified xsi:type="dcterms:W3CDTF">2026-10-05T08:06:11.217Z</dcterms:modified>
</cp:coreProperties>
</file>

<file path=docProps/custom.xml><?xml version="1.0" encoding="utf-8"?>
<Properties xmlns="http://schemas.openxmlformats.org/officeDocument/2006/custom-properties" xmlns:vt="http://schemas.openxmlformats.org/officeDocument/2006/docPropsVTypes"/>
</file>