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 ноября 2018 года № 515</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внесении изменений в Закон Кыргызской Республики "О пенсионном обеспечении военнослужащих"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fw8x9rcd89afl75zobugh">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pc5xi1ufidhfrbnldteqr">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w:t>
      </w:r>
      <w:hyperlink w:history="1" r:id="rIdligpxr5vl2645fbetpg5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пенсионном обеспечении военнослужащих", инициированного депутатами Жогорку Кенеша Кыргызской Республики Баатырбековым А.Б., Турсунбаевым А.А., Айдаровым С.А., Абжалиевым А.Т., Кыдыралиевым У.Т., Бакировым М.И., Турускуловым Ж.К., Тулендыбаевым П.Р., Бекешевым Д.Д.</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w:t>
      </w:r>
      <w:r>
        <w:rPr>
          <w:rFonts w:ascii="Arial" w:cs="Arial" w:eastAsia="Arial" w:hAnsi="Arial"/>
          <w:sz w:val="24"/>
          <w:szCs w:val="24"/>
        </w:rPr>
        <w:t xml:space="preserve"> </w:t>
      </w:r>
      <w:hyperlink w:history="1" r:id="rIdvwzvqn8tmsaxpq08oxbv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ноября 2018 года № 515</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Закон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cymaye5-7a1z0hzde_8xj">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w:t>
      </w:r>
      <w:hyperlink w:history="1" r:id="rIdnrcahtemwrrja-mz4p-y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пенсионном обеспечении военнослужащих", инициированного депутатами Жогорку Кенеша Кыргызской Республики Баатырбековым А.Б., Турсунбаевым А.А., Айдаровым С.А., Абжалиевым А.Т., Кыдыралиевым У.Т., Бакировым М.И., Турускуловым Ж.К., Тулендыбаевым П.Р., Бекешевым Д.Д., приходит к следующему заключению.</w:t>
      </w:r>
    </w:p>
    <w:p>
      <w:pPr>
        <w:spacing w:after="60"/>
        <w:ind w:firstLine="567"/>
        <w:jc w:val="both"/>
      </w:pPr>
      <w:r>
        <w:rPr>
          <w:rFonts w:ascii="Arial" w:cs="Arial" w:eastAsia="Arial" w:hAnsi="Arial"/>
          <w:sz w:val="24"/>
          <w:szCs w:val="24"/>
        </w:rPr>
        <w:t xml:space="preserve">1. Статьей 1 проекта Закона предлагается внести следующее изменение в </w:t>
      </w:r>
      <w:r>
        <w:rPr>
          <w:rFonts w:ascii="Arial" w:cs="Arial" w:eastAsia="Arial" w:hAnsi="Arial"/>
          <w:sz w:val="24"/>
          <w:szCs w:val="24"/>
        </w:rPr>
        <w:t xml:space="preserve">статью 49</w:t>
      </w:r>
      <w:r>
        <w:rPr>
          <w:rFonts w:ascii="Arial" w:cs="Arial" w:eastAsia="Arial" w:hAnsi="Arial"/>
          <w:sz w:val="24"/>
          <w:szCs w:val="24"/>
        </w:rPr>
        <w:t xml:space="preserve"> </w:t>
      </w:r>
      <w:hyperlink w:history="1" r:id="rIddaflinoubui67n2wsxrc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пенсионном обеспечении военнослужащих": после слов "на период проживания их в этих районах пенсии" дополнить словами ", а также, пенсионерам, прошедшим военную службу не менее десять календарных лет в местностях, где установлены районные коэффициенты".</w:t>
      </w:r>
    </w:p>
    <w:p>
      <w:pPr>
        <w:spacing w:after="60"/>
        <w:ind w:firstLine="567"/>
        <w:jc w:val="both"/>
      </w:pPr>
      <w:r>
        <w:rPr>
          <w:rFonts w:ascii="Arial" w:cs="Arial" w:eastAsia="Arial" w:hAnsi="Arial"/>
          <w:sz w:val="24"/>
          <w:szCs w:val="24"/>
        </w:rPr>
        <w:t xml:space="preserve">Статьей 49</w:t>
      </w:r>
      <w:r>
        <w:rPr>
          <w:rFonts w:ascii="Arial" w:cs="Arial" w:eastAsia="Arial" w:hAnsi="Arial"/>
          <w:sz w:val="24"/>
          <w:szCs w:val="24"/>
        </w:rPr>
        <w:t xml:space="preserve"> </w:t>
      </w:r>
      <w:hyperlink w:history="1" r:id="rIdirlf4wzumq06_axdusg0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пенсионном обеспечении военнослужащих" установлено, что пенсионерам из числа лиц офицерского состава, прапорщиков, мичманов и военнослужащих сверхсрочной службы, прокуроров и следователей органов прокуратуры,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и членам их семей, проживающим в районах, где к заработной плате рабочих и служащих установлены районные коэффициенты, на период проживания их в этих районах пенсии, назначаемые в соответствии с настоящим Законом (в том числе в минимальных размерах), исчисляются с применением соответствующего районного коэффициента.</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w:t>
      </w:r>
      <w:r>
        <w:rPr>
          <w:rFonts w:ascii="Arial" w:cs="Arial" w:eastAsia="Arial" w:hAnsi="Arial"/>
          <w:sz w:val="24"/>
          <w:szCs w:val="24"/>
        </w:rPr>
        <w:t xml:space="preserve"> </w:t>
      </w:r>
      <w:hyperlink w:history="1" r:id="rIdhozrijsbvs3a-ldxyagl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гарантиях и компенсациях для лиц, проживающих и работающих в условиях высокогорья и отдаленных труднодоступных зонах" действие данного Закона распространяется на лиц, проживающих в условиях высокогорья и отдаленных труднодоступных зонах, и лиц, работающих на предприятиях, в учреждениях, организациях, расположенных в указанных районах.</w:t>
      </w:r>
    </w:p>
    <w:p>
      <w:pPr>
        <w:spacing w:after="60"/>
        <w:ind w:firstLine="567"/>
        <w:jc w:val="both"/>
      </w:pPr>
      <w:r>
        <w:rPr>
          <w:rFonts w:ascii="Arial" w:cs="Arial" w:eastAsia="Arial" w:hAnsi="Arial"/>
          <w:sz w:val="24"/>
          <w:szCs w:val="24"/>
        </w:rPr>
        <w:t xml:space="preserve">В случаях, предусмотренных данным Законом, государственные гарантии и компенсации предоставляются лицам, прибывшим в населенные пункты, расположенные в условиях высокогорья и отдаленных труднодоступных зонах, то есть исчисление вышеуказанного коэффициента осуществляется в отношении лиц, проживающих, работающих, прибывших в населенные пункты, расположенные в условиях высокогорья и отдаленных труднодоступных зонах.</w:t>
      </w:r>
    </w:p>
    <w:p>
      <w:pPr>
        <w:spacing w:after="60"/>
        <w:ind w:firstLine="567"/>
        <w:jc w:val="both"/>
      </w:pPr>
      <w:r>
        <w:rPr>
          <w:rFonts w:ascii="Arial" w:cs="Arial" w:eastAsia="Arial" w:hAnsi="Arial"/>
          <w:sz w:val="24"/>
          <w:szCs w:val="24"/>
        </w:rPr>
        <w:t xml:space="preserve">Необходимо учесть, что в настоящее время в соответствии </w:t>
      </w:r>
      <w:hyperlink w:history="1" r:id="rId228l3tqo0kf0vyt8qjcc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гарантиях и компенсациях для лиц, проживающих и работающих в условиях высокогорья" военнослужащим и сотрудникам правоохранительных органов, прослужившим в высокогорных местностях, выплачивается доплата к денежному довольствию с учетом районного коэффициента, а также производится льготное исчисление выслуги лет на пенсию.</w:t>
      </w:r>
    </w:p>
    <w:p>
      <w:pPr>
        <w:spacing w:after="60"/>
        <w:ind w:firstLine="567"/>
        <w:jc w:val="both"/>
      </w:pPr>
      <w:r>
        <w:rPr>
          <w:rFonts w:ascii="Arial" w:cs="Arial" w:eastAsia="Arial" w:hAnsi="Arial"/>
          <w:sz w:val="24"/>
          <w:szCs w:val="24"/>
        </w:rPr>
        <w:t xml:space="preserve">Также следует отметить, что за десятилетний период службы военнослужащие и сотрудники правоохранительных органов могут проходить службу в различных местностях республики, где предусмотрена доплата за районный коэффициент в разных размерах.</w:t>
      </w:r>
    </w:p>
    <w:p>
      <w:pPr>
        <w:spacing w:after="60"/>
        <w:ind w:firstLine="567"/>
        <w:jc w:val="both"/>
      </w:pPr>
      <w:r>
        <w:rPr>
          <w:rFonts w:ascii="Arial" w:cs="Arial" w:eastAsia="Arial" w:hAnsi="Arial"/>
          <w:sz w:val="24"/>
          <w:szCs w:val="24"/>
        </w:rPr>
        <w:t xml:space="preserve">Внесение данной нормы негативно отразится на кадровой политике Вооруженных Сил, а также правоохранительных органов Кыргызской Республики при перемещениях военнослужащих и сотрудников правоохранительных органов из одной местности в другую, в связи с тем, что военнослужащие, прослужившие менее 10 лет в местностях, где не предусмотрены районные коэффициенты, будут стараться любыми способами соответствовать требованиям данной нормы, тем самым создавая коррупционные элементы при назначениях на службу и перемещениях.</w:t>
      </w:r>
    </w:p>
    <w:p>
      <w:pPr>
        <w:spacing w:after="60"/>
        <w:ind w:firstLine="567"/>
        <w:jc w:val="both"/>
      </w:pPr>
      <w:r>
        <w:rPr>
          <w:rFonts w:ascii="Arial" w:cs="Arial" w:eastAsia="Arial" w:hAnsi="Arial"/>
          <w:sz w:val="24"/>
          <w:szCs w:val="24"/>
        </w:rPr>
        <w:t xml:space="preserve">В случае принятия законопроекта при назначении пенсии возникнет вопрос, какой коэффициент применять для расчета пенсии - наибольший или наименьший коэффициент.</w:t>
      </w:r>
    </w:p>
    <w:p>
      <w:pPr>
        <w:spacing w:after="60"/>
        <w:ind w:firstLine="567"/>
        <w:jc w:val="both"/>
      </w:pPr>
      <w:r>
        <w:rPr>
          <w:rFonts w:ascii="Arial" w:cs="Arial" w:eastAsia="Arial" w:hAnsi="Arial"/>
          <w:sz w:val="24"/>
          <w:szCs w:val="24"/>
        </w:rPr>
        <w:t xml:space="preserve">В законопроекте также не определен механизм назначения пенсий пенсионерам из числа военнослужащих, которые были вновь призваны на действительную военную службу и впоследствии вновь вышедшие на пенсию в установленном законодательством порядке.</w:t>
      </w:r>
    </w:p>
    <w:p>
      <w:pPr>
        <w:spacing w:after="60"/>
        <w:ind w:firstLine="567"/>
        <w:jc w:val="both"/>
      </w:pPr>
      <w:r>
        <w:rPr>
          <w:rFonts w:ascii="Arial" w:cs="Arial" w:eastAsia="Arial" w:hAnsi="Arial"/>
          <w:sz w:val="24"/>
          <w:szCs w:val="24"/>
        </w:rPr>
        <w:t xml:space="preserve">Наряду с этим, согласно информации Министерства финансов Кыргызской Республики, по предварительным расчетам, на реализацию проекта Закона Кыргызской Республики для выплаты районного коэффициента к размерам пенсий пенсионерам, проходящим военную службу в течение 10 (десять) календарных лет в местностях, где установлены районные коэффициенты, потребуется дополнительные финансовые средства в сумме примерно от 1,0 млрд. сомов до 1,5 млрд. сомов, изыскание которых при значительном дефиците республиканского бюджета не представляется возможным.</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26</w:t>
      </w:r>
      <w:r>
        <w:rPr>
          <w:rFonts w:ascii="Arial" w:cs="Arial" w:eastAsia="Arial" w:hAnsi="Arial"/>
          <w:sz w:val="24"/>
          <w:szCs w:val="24"/>
        </w:rPr>
        <w:t xml:space="preserve"> </w:t>
      </w:r>
      <w:hyperlink w:history="1" r:id="rIdcjpejivkxgx99zaaamfz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60"/>
        <w:ind w:firstLine="567"/>
        <w:jc w:val="both"/>
      </w:pPr>
      <w:r>
        <w:rPr>
          <w:rFonts w:ascii="Arial" w:cs="Arial" w:eastAsia="Arial" w:hAnsi="Arial"/>
          <w:sz w:val="24"/>
          <w:szCs w:val="24"/>
        </w:rPr>
        <w:t xml:space="preserve">2. Статьей 2 проекта Закона поручается Правительству Кыргызской Республики в шестимесячный срок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24</w:t>
      </w:r>
      <w:r>
        <w:rPr>
          <w:rFonts w:ascii="Arial" w:cs="Arial" w:eastAsia="Arial" w:hAnsi="Arial"/>
          <w:sz w:val="24"/>
          <w:szCs w:val="24"/>
        </w:rPr>
        <w:t xml:space="preserve"> </w:t>
      </w:r>
      <w:hyperlink w:history="1" r:id="rIds5m1dsj1xjpzhk51fbtv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принятие Закона Кыргызской Республики "О внесении изменений в </w:t>
      </w:r>
      <w:hyperlink w:history="1" r:id="rIdhusop5t7ocvk_xpw7bs2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пенсионном обеспечении военнослужащих", инициированного депутатами Жогорку Кенеша Кыргызской Республики Баатырбековым А.Б., Турсунбаевым А.А., Айдаровым С.А., Абжалиевым А.Т., Кыдыралиевым У.Т., Бакировым М.И., Турускуловым Ж.К., Тулендыбаевым П.Р., Бекешевым Д.Д., нецелесообразным.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vf8etrcxxolb9tjku6ti">
      <w:r>
        <w:rPr>
          <w:rFonts w:ascii="Arial" w:cs="Arial" w:eastAsia="Arial" w:hAnsi="Arial"/>
          <w:color w:val="132D3F"/>
          <w:sz w:val="16"/>
          <w:szCs w:val="16"/>
          <w:u w:val="single"/>
        </w:rPr>
        <w:t xml:space="preserve">dalil.kg/document/12697</w:t>
      </w:r>
    </w:hyperlink>
  </w:p>
  <w:p>
    <w:pPr>
      <w:spacing w:after="0" w:before="40"/>
      <w:jc w:val="center"/>
    </w:pPr>
    <w:hyperlink w:history="1" r:id="rIdaganbqhgvulpuhblozbe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w8x9rcd89afl75zobugh" Type="http://schemas.openxmlformats.org/officeDocument/2006/relationships/hyperlink" Target="https://dalil.kg/document/203685" TargetMode="External"/><Relationship Id="rIdpc5xi1ufidhfrbnldteqr" Type="http://schemas.openxmlformats.org/officeDocument/2006/relationships/hyperlink" Target="https://dalil.kg/document/12697#p1" TargetMode="External"/><Relationship Id="rIdligpxr5vl2645fbetpg5b" Type="http://schemas.openxmlformats.org/officeDocument/2006/relationships/hyperlink" Target="https://dalil.kg/document/640" TargetMode="External"/><Relationship Id="rIdvwzvqn8tmsaxpq08oxbv_" Type="http://schemas.openxmlformats.org/officeDocument/2006/relationships/hyperlink" Target="https://dalil.kg/document/12697" TargetMode="External"/><Relationship Id="rIdcymaye5-7a1z0hzde_8xj" Type="http://schemas.openxmlformats.org/officeDocument/2006/relationships/hyperlink" Target="https://dalil.kg/document/203685" TargetMode="External"/><Relationship Id="rIdnrcahtemwrrja-mz4p-yo" Type="http://schemas.openxmlformats.org/officeDocument/2006/relationships/hyperlink" Target="https://dalil.kg/document/690" TargetMode="External"/><Relationship Id="rIddaflinoubui67n2wsxrcm" Type="http://schemas.openxmlformats.org/officeDocument/2006/relationships/hyperlink" Target="https://dalil.kg/document/690" TargetMode="External"/><Relationship Id="rIdirlf4wzumq06_axdusg0k" Type="http://schemas.openxmlformats.org/officeDocument/2006/relationships/hyperlink" Target="https://dalil.kg/document/690" TargetMode="External"/><Relationship Id="rIdhozrijsbvs3a-ldxyaglz" Type="http://schemas.openxmlformats.org/officeDocument/2006/relationships/hyperlink" Target="https://dalil.kg/document/640" TargetMode="External"/><Relationship Id="rId228l3tqo0kf0vyt8qjcc1" Type="http://schemas.openxmlformats.org/officeDocument/2006/relationships/hyperlink" Target="https://dalil.kg/document/640" TargetMode="External"/><Relationship Id="rIdcjpejivkxgx99zaaamfz2" Type="http://schemas.openxmlformats.org/officeDocument/2006/relationships/hyperlink" Target="https://dalil.kg/document/202591" TargetMode="External"/><Relationship Id="rIds5m1dsj1xjpzhk51fbtv5" Type="http://schemas.openxmlformats.org/officeDocument/2006/relationships/hyperlink" Target="https://dalil.kg/document/202591" TargetMode="External"/><Relationship Id="rIdhusop5t7ocvk_xpw7bs2t" Type="http://schemas.openxmlformats.org/officeDocument/2006/relationships/hyperlink" Target="https://dalil.kg/document/690"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vf8etrcxxolb9tjku6ti" Type="http://schemas.openxmlformats.org/officeDocument/2006/relationships/hyperlink" Target="https://dalil.kg/document/12697" TargetMode="External"/><Relationship Id="rIdaganbqhgvulpuhblozbe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2026-09-29T20:06:40.411Z</dcterms:created>
  <dcterms:modified xsi:type="dcterms:W3CDTF">2026-09-29T20:06:40.411Z</dcterms:modified>
</cp:coreProperties>
</file>

<file path=docProps/custom.xml><?xml version="1.0" encoding="utf-8"?>
<Properties xmlns="http://schemas.openxmlformats.org/officeDocument/2006/custom-properties" xmlns:vt="http://schemas.openxmlformats.org/officeDocument/2006/docPropsVTypes"/>
</file>