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22 ноября 2018 года № 541</w:t>
      </w:r>
    </w:p>
    <w:p>
      <w:pPr>
        <w:spacing w:after="120"/>
        <w:jc w:val="both"/>
      </w:pPr>
      <w:r>
        <w:rPr>
          <w:rFonts w:ascii="Arial" w:cs="Arial" w:eastAsia="Arial" w:hAnsi="Arial"/>
          <w:sz w:val="28"/>
          <w:szCs w:val="28"/>
        </w:rPr>
        <w:t xml:space="preserve">О заключении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Земельный кодекс Кыргызской Республики, законы Кыргызской Республики "О статусе депутатов местных кенешей", "О местной государственной администрации", "О выборах депутатов местных кенешей", "О местном самоуправлении", "О государственной гражданской службе и муниципальной службе")"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2al0pxqot1goehyxtoo2k">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hecmp0mvr4_q82ipzse00">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Земельный </w:t>
      </w:r>
      <w:hyperlink w:history="1" r:id="rIdbf_m5dfizo7l0kr1uy9rc">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законы Кыргызской Республики "</w:t>
      </w:r>
      <w:hyperlink w:history="1" r:id="rIdtcmdpypbhie3mzclctkcf">
        <w:r>
          <w:rPr>
            <w:rFonts w:ascii="Arial" w:cs="Arial" w:eastAsia="Arial" w:hAnsi="Arial"/>
            <w:color w:val="1D4ED8"/>
            <w:sz w:val="24"/>
            <w:szCs w:val="24"/>
            <w:u w:val="single"/>
          </w:rPr>
          <w:t xml:space="preserve">О статусе депутатов местных кенешей</w:t>
        </w:r>
      </w:hyperlink>
      <w:r>
        <w:rPr>
          <w:rFonts w:ascii="Arial" w:cs="Arial" w:eastAsia="Arial" w:hAnsi="Arial"/>
          <w:sz w:val="24"/>
          <w:szCs w:val="24"/>
        </w:rPr>
        <w:t xml:space="preserve">", "</w:t>
      </w:r>
      <w:hyperlink w:history="1" r:id="rIdhzqaystcgt83wailpa-2e">
        <w:r>
          <w:rPr>
            <w:rFonts w:ascii="Arial" w:cs="Arial" w:eastAsia="Arial" w:hAnsi="Arial"/>
            <w:color w:val="1D4ED8"/>
            <w:sz w:val="24"/>
            <w:szCs w:val="24"/>
            <w:u w:val="single"/>
          </w:rPr>
          <w:t xml:space="preserve">О местной государственной администрации</w:t>
        </w:r>
      </w:hyperlink>
      <w:r>
        <w:rPr>
          <w:rFonts w:ascii="Arial" w:cs="Arial" w:eastAsia="Arial" w:hAnsi="Arial"/>
          <w:sz w:val="24"/>
          <w:szCs w:val="24"/>
        </w:rPr>
        <w:t xml:space="preserve">", "</w:t>
      </w:r>
      <w:hyperlink w:history="1" r:id="rId6zekpmxknpdxcn4gi8pha">
        <w:r>
          <w:rPr>
            <w:rFonts w:ascii="Arial" w:cs="Arial" w:eastAsia="Arial" w:hAnsi="Arial"/>
            <w:color w:val="1D4ED8"/>
            <w:sz w:val="24"/>
            <w:szCs w:val="24"/>
            <w:u w:val="single"/>
          </w:rPr>
          <w:t xml:space="preserve">О выборах депутатов местных кенешей</w:t>
        </w:r>
      </w:hyperlink>
      <w:r>
        <w:rPr>
          <w:rFonts w:ascii="Arial" w:cs="Arial" w:eastAsia="Arial" w:hAnsi="Arial"/>
          <w:sz w:val="24"/>
          <w:szCs w:val="24"/>
        </w:rPr>
        <w:t xml:space="preserve">", "</w:t>
      </w:r>
      <w:hyperlink w:history="1" r:id="rIdeygskrsqep25hrsp1azbc">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w:t>
      </w:r>
      <w:hyperlink w:history="1" r:id="rIdo6dg2e1j4ajpj_nhpvwzv">
        <w:r>
          <w:rPr>
            <w:rFonts w:ascii="Arial" w:cs="Arial" w:eastAsia="Arial" w:hAnsi="Arial"/>
            <w:color w:val="1D4ED8"/>
            <w:sz w:val="24"/>
            <w:szCs w:val="24"/>
            <w:u w:val="single"/>
          </w:rPr>
          <w:t xml:space="preserve">О государственной гражданской службе и муниципальной службе</w:t>
        </w:r>
      </w:hyperlink>
      <w:r>
        <w:rPr>
          <w:rFonts w:ascii="Arial" w:cs="Arial" w:eastAsia="Arial" w:hAnsi="Arial"/>
          <w:sz w:val="24"/>
          <w:szCs w:val="24"/>
        </w:rPr>
        <w:t xml:space="preserve">")", инициированный депутатами Жогорку Кенеша Кыргызской Республики Назаровым А.К., Туманбаевой P.M., Узакбаевым А.О., Нышановым С.К., Жапаровым А.У.</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М. Абылгазиев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w:t>
      </w:r>
      <w:hyperlink w:history="1" r:id="rIdqsjjms3pcqfsc2cskciv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ноября 2018 года № 541</w:t>
      </w:r>
    </w:p>
    <w:p>
      <w:pPr>
        <w:spacing w:after="400" w:before="400"/>
        <w:jc w:val="center"/>
      </w:pPr>
      <w:r>
        <w:rPr>
          <w:rFonts w:ascii="Arial" w:cs="Arial" w:eastAsia="Arial" w:hAnsi="Arial"/>
          <w:b/>
          <w:bCs/>
          <w:sz w:val="24"/>
          <w:szCs w:val="24"/>
        </w:rPr>
        <w:t xml:space="preserve">ЗАКЛЮЧЕНИЕ</w:t>
      </w:r>
      <w:r>
        <w:rPr>
          <w:rFonts w:ascii="Arial" w:cs="Arial" w:eastAsia="Arial" w:hAnsi="Arial"/>
          <w:sz w:val="24"/>
          <w:szCs w:val="24"/>
        </w:rPr>
        <w:t xml:space="preserve"> </w:t>
      </w:r>
      <w:r>
        <w:rPr>
          <w:rFonts w:ascii="Arial" w:cs="Arial" w:eastAsia="Arial" w:hAnsi="Arial"/>
          <w:b/>
          <w:bCs/>
          <w:sz w:val="24"/>
          <w:szCs w:val="24"/>
        </w:rPr>
        <w:t xml:space="preserve">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Земельный кодекс Кыргызской Республики, законы Кыргызской Республики "О статусе депутатов местных кенешей", "О местной государственной администрации", "О выборах депутатов местных кенешей", "О местном самоуправлении", "О государственной гражданской службе и муниципальной службе")"</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kpmwkvdp4mbdmeypzz1hs">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внесении изменений в некоторые законодательные акты Кыргызской Республики (в Земельный </w:t>
      </w:r>
      <w:hyperlink w:history="1" r:id="rId3mxfydr2qqelue8vqtsw0">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законы Кыргызской Республики "</w:t>
      </w:r>
      <w:hyperlink w:history="1" r:id="rId06kblmsjhmfum6i99sgy_">
        <w:r>
          <w:rPr>
            <w:rFonts w:ascii="Arial" w:cs="Arial" w:eastAsia="Arial" w:hAnsi="Arial"/>
            <w:color w:val="1D4ED8"/>
            <w:sz w:val="24"/>
            <w:szCs w:val="24"/>
            <w:u w:val="single"/>
          </w:rPr>
          <w:t xml:space="preserve">О статусе депутатов местных кенешей</w:t>
        </w:r>
      </w:hyperlink>
      <w:r>
        <w:rPr>
          <w:rFonts w:ascii="Arial" w:cs="Arial" w:eastAsia="Arial" w:hAnsi="Arial"/>
          <w:sz w:val="24"/>
          <w:szCs w:val="24"/>
        </w:rPr>
        <w:t xml:space="preserve">", "</w:t>
      </w:r>
      <w:hyperlink w:history="1" r:id="rIdbknsan1pg880nurqglf0k">
        <w:r>
          <w:rPr>
            <w:rFonts w:ascii="Arial" w:cs="Arial" w:eastAsia="Arial" w:hAnsi="Arial"/>
            <w:color w:val="1D4ED8"/>
            <w:sz w:val="24"/>
            <w:szCs w:val="24"/>
            <w:u w:val="single"/>
          </w:rPr>
          <w:t xml:space="preserve">О местной государственной администрации</w:t>
        </w:r>
      </w:hyperlink>
      <w:r>
        <w:rPr>
          <w:rFonts w:ascii="Arial" w:cs="Arial" w:eastAsia="Arial" w:hAnsi="Arial"/>
          <w:sz w:val="24"/>
          <w:szCs w:val="24"/>
        </w:rPr>
        <w:t xml:space="preserve">", "</w:t>
      </w:r>
      <w:hyperlink w:history="1" r:id="rIdt3wxbweadvcow_sgekp3p">
        <w:r>
          <w:rPr>
            <w:rFonts w:ascii="Arial" w:cs="Arial" w:eastAsia="Arial" w:hAnsi="Arial"/>
            <w:color w:val="1D4ED8"/>
            <w:sz w:val="24"/>
            <w:szCs w:val="24"/>
            <w:u w:val="single"/>
          </w:rPr>
          <w:t xml:space="preserve">О выборах депутатов местных кенешей</w:t>
        </w:r>
      </w:hyperlink>
      <w:r>
        <w:rPr>
          <w:rFonts w:ascii="Arial" w:cs="Arial" w:eastAsia="Arial" w:hAnsi="Arial"/>
          <w:sz w:val="24"/>
          <w:szCs w:val="24"/>
        </w:rPr>
        <w:t xml:space="preserve">", "</w:t>
      </w:r>
      <w:hyperlink w:history="1" r:id="rIdlvhee1rfvgijjjskdsrec">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w:t>
      </w:r>
      <w:hyperlink w:history="1" r:id="rIdczu2ywh_zh4gjnbflrcuo">
        <w:r>
          <w:rPr>
            <w:rFonts w:ascii="Arial" w:cs="Arial" w:eastAsia="Arial" w:hAnsi="Arial"/>
            <w:color w:val="1D4ED8"/>
            <w:sz w:val="24"/>
            <w:szCs w:val="24"/>
            <w:u w:val="single"/>
          </w:rPr>
          <w:t xml:space="preserve">О государственной гражданской службе и муниципальной службе</w:t>
        </w:r>
      </w:hyperlink>
      <w:r>
        <w:rPr>
          <w:rFonts w:ascii="Arial" w:cs="Arial" w:eastAsia="Arial" w:hAnsi="Arial"/>
          <w:sz w:val="24"/>
          <w:szCs w:val="24"/>
        </w:rPr>
        <w:t xml:space="preserve">")", инициированный депутатами Жогорку Кенеша Кыргызской Республики Назаровым А.К., Туманбаевой P.M., Узакбаевым А.О., Нышановым С.К., Жапаровым А.У., приходит к следующему заключению.</w:t>
      </w:r>
    </w:p>
    <w:p>
      <w:pPr>
        <w:spacing w:after="60"/>
        <w:ind w:firstLine="567"/>
        <w:jc w:val="both"/>
      </w:pPr>
      <w:r>
        <w:rPr>
          <w:rFonts w:ascii="Arial" w:cs="Arial" w:eastAsia="Arial" w:hAnsi="Arial"/>
          <w:sz w:val="24"/>
          <w:szCs w:val="24"/>
        </w:rPr>
        <w:t xml:space="preserve">Концепция данного проекта Закона предусматривает "укрепление роли местных государственных администраций в государственном управлении территориями страны".</w:t>
      </w:r>
    </w:p>
    <w:p>
      <w:pPr>
        <w:spacing w:after="60"/>
        <w:ind w:firstLine="567"/>
        <w:jc w:val="both"/>
      </w:pPr>
      <w:r>
        <w:rPr>
          <w:rFonts w:ascii="Arial" w:cs="Arial" w:eastAsia="Arial" w:hAnsi="Arial"/>
          <w:sz w:val="24"/>
          <w:szCs w:val="24"/>
        </w:rPr>
        <w:t xml:space="preserve">Правительство Кыргызской Республики, изучив вышеназванный проект Закона, в целом поддерживает концепцию, цели и задачи законопроекта.</w:t>
      </w:r>
    </w:p>
    <w:p>
      <w:pPr>
        <w:spacing w:after="60"/>
        <w:ind w:firstLine="567"/>
        <w:jc w:val="both"/>
      </w:pPr>
      <w:r>
        <w:rPr>
          <w:rFonts w:ascii="Arial" w:cs="Arial" w:eastAsia="Arial" w:hAnsi="Arial"/>
          <w:sz w:val="24"/>
          <w:szCs w:val="24"/>
        </w:rPr>
        <w:t xml:space="preserve">Одновременно отмечаем, что проект Закона требует доработки с учетом нижеследующего.</w:t>
      </w:r>
    </w:p>
    <w:p>
      <w:pPr>
        <w:spacing w:after="60"/>
        <w:ind w:firstLine="567"/>
        <w:jc w:val="both"/>
      </w:pPr>
      <w:r>
        <w:rPr>
          <w:rFonts w:ascii="Arial" w:cs="Arial" w:eastAsia="Arial" w:hAnsi="Arial"/>
          <w:sz w:val="24"/>
          <w:szCs w:val="24"/>
        </w:rPr>
        <w:t xml:space="preserve">1. Подпунктом "б)" части 1 статьи 1 проекта Закона абзац пятый пункта 3 </w:t>
      </w:r>
      <w:r>
        <w:rPr>
          <w:rFonts w:ascii="Arial" w:cs="Arial" w:eastAsia="Arial" w:hAnsi="Arial"/>
          <w:sz w:val="24"/>
          <w:szCs w:val="24"/>
        </w:rPr>
        <w:t xml:space="preserve">статьи 4</w:t>
      </w:r>
      <w:r>
        <w:rPr>
          <w:rFonts w:ascii="Arial" w:cs="Arial" w:eastAsia="Arial" w:hAnsi="Arial"/>
          <w:sz w:val="24"/>
          <w:szCs w:val="24"/>
        </w:rPr>
        <w:t xml:space="preserve"> </w:t>
      </w:r>
      <w:hyperlink w:history="1" r:id="rIdllexgor-c4sx9qs4_ysbv">
        <w:r>
          <w:rPr>
            <w:rFonts w:ascii="Arial" w:cs="Arial" w:eastAsia="Arial" w:hAnsi="Arial"/>
            <w:color w:val="1D4ED8"/>
            <w:sz w:val="24"/>
            <w:szCs w:val="24"/>
            <w:u w:val="single"/>
          </w:rPr>
          <w:t xml:space="preserve">Земельного кодекса</w:t>
        </w:r>
      </w:hyperlink>
      <w:r>
        <w:rPr>
          <w:rFonts w:ascii="Arial" w:cs="Arial" w:eastAsia="Arial" w:hAnsi="Arial"/>
          <w:sz w:val="24"/>
          <w:szCs w:val="24"/>
        </w:rPr>
        <w:t xml:space="preserve"> Кыргызской Республики излагается в новой редакции, в соответствии с которой "управление землями, находящимися в государственной собственности, в границах аильных аймаков и городов районного значения осуществляет местная государственная администрация, а в городах областного и республиканского значения - специально уполномоченный Правительством Кыргызской Республики государственный орган".</w:t>
      </w:r>
    </w:p>
    <w:p>
      <w:pPr>
        <w:spacing w:after="60"/>
        <w:ind w:firstLine="567"/>
        <w:jc w:val="both"/>
      </w:pPr>
      <w:r>
        <w:rPr>
          <w:rFonts w:ascii="Arial" w:cs="Arial" w:eastAsia="Arial" w:hAnsi="Arial"/>
          <w:sz w:val="24"/>
          <w:szCs w:val="24"/>
        </w:rPr>
        <w:t xml:space="preserve">При этом следует учесть, что в соответствии со </w:t>
      </w:r>
      <w:r>
        <w:rPr>
          <w:rFonts w:ascii="Arial" w:cs="Arial" w:eastAsia="Arial" w:hAnsi="Arial"/>
          <w:sz w:val="24"/>
          <w:szCs w:val="24"/>
        </w:rPr>
        <w:t xml:space="preserve">статьей 11</w:t>
      </w:r>
      <w:r>
        <w:rPr>
          <w:rFonts w:ascii="Arial" w:cs="Arial" w:eastAsia="Arial" w:hAnsi="Arial"/>
          <w:sz w:val="24"/>
          <w:szCs w:val="24"/>
        </w:rPr>
        <w:t xml:space="preserve"> </w:t>
      </w:r>
      <w:hyperlink w:history="1" r:id="rIdsr6lgtx9cugamlurl2prd">
        <w:r>
          <w:rPr>
            <w:rFonts w:ascii="Arial" w:cs="Arial" w:eastAsia="Arial" w:hAnsi="Arial"/>
            <w:color w:val="1D4ED8"/>
            <w:sz w:val="24"/>
            <w:szCs w:val="24"/>
            <w:u w:val="single"/>
          </w:rPr>
          <w:t xml:space="preserve">Лесного кодекса</w:t>
        </w:r>
      </w:hyperlink>
      <w:r>
        <w:rPr>
          <w:rFonts w:ascii="Arial" w:cs="Arial" w:eastAsia="Arial" w:hAnsi="Arial"/>
          <w:sz w:val="24"/>
          <w:szCs w:val="24"/>
        </w:rPr>
        <w:t xml:space="preserve"> Кыргызской Республики право собственности на государственный лесной фонд в Кыргызской Республике осуществляют Правительство Кыргызской Республики и государственные органы управления лесным хозяйством, местные государственные администрации в пределах компетенции, установленной настоящим Кодексом и иным законодательством Кыргызской Республики.</w:t>
      </w:r>
    </w:p>
    <w:p>
      <w:pPr>
        <w:spacing w:after="60"/>
        <w:ind w:firstLine="567"/>
        <w:jc w:val="both"/>
      </w:pPr>
      <w:r>
        <w:rPr>
          <w:rFonts w:ascii="Arial" w:cs="Arial" w:eastAsia="Arial" w:hAnsi="Arial"/>
          <w:sz w:val="24"/>
          <w:szCs w:val="24"/>
        </w:rPr>
        <w:t xml:space="preserve">2. Подпунктом "б)" части 5 статьи 1 проекта Закона пункт 5 </w:t>
      </w:r>
      <w:r>
        <w:rPr>
          <w:rFonts w:ascii="Arial" w:cs="Arial" w:eastAsia="Arial" w:hAnsi="Arial"/>
          <w:sz w:val="24"/>
          <w:szCs w:val="24"/>
        </w:rPr>
        <w:t xml:space="preserve">статьи 15</w:t>
      </w:r>
      <w:r>
        <w:rPr>
          <w:rFonts w:ascii="Arial" w:cs="Arial" w:eastAsia="Arial" w:hAnsi="Arial"/>
          <w:sz w:val="24"/>
          <w:szCs w:val="24"/>
        </w:rPr>
        <w:t xml:space="preserve"> </w:t>
      </w:r>
      <w:hyperlink w:history="1" r:id="rIdsxlq4mb6oiucktvvg0b8a">
        <w:r>
          <w:rPr>
            <w:rFonts w:ascii="Arial" w:cs="Arial" w:eastAsia="Arial" w:hAnsi="Arial"/>
            <w:color w:val="1D4ED8"/>
            <w:sz w:val="24"/>
            <w:szCs w:val="24"/>
            <w:u w:val="single"/>
          </w:rPr>
          <w:t xml:space="preserve">Земельного кодекса</w:t>
        </w:r>
      </w:hyperlink>
      <w:r>
        <w:rPr>
          <w:rFonts w:ascii="Arial" w:cs="Arial" w:eastAsia="Arial" w:hAnsi="Arial"/>
          <w:sz w:val="24"/>
          <w:szCs w:val="24"/>
        </w:rPr>
        <w:t xml:space="preserve"> Кыргызской Республики предлагается изложить в новой редакции, согласно которой "к ведению районной государственной администрации относится разработка и согласование с местными кенешами соответствующего района программ по рациональному использованию земель, повышению плодородия почв и их выполнение".</w:t>
      </w:r>
    </w:p>
    <w:p>
      <w:pPr>
        <w:spacing w:after="60"/>
        <w:ind w:firstLine="567"/>
        <w:jc w:val="both"/>
      </w:pPr>
      <w:r>
        <w:rPr>
          <w:rFonts w:ascii="Arial" w:cs="Arial" w:eastAsia="Arial" w:hAnsi="Arial"/>
          <w:sz w:val="24"/>
          <w:szCs w:val="24"/>
        </w:rPr>
        <w:t xml:space="preserve">Следует отметить, что в предлагаемой редакции проекта Закона не представляется возможным определить, со всеми ли местными кенешами района необходимо согласовывать данные программы, каким образом данная процедура будет осуществляться, и что будет в случае несогласия отдельных местных кенешей с содержанием разработанной программы.</w:t>
      </w:r>
    </w:p>
    <w:p>
      <w:pPr>
        <w:spacing w:after="60"/>
        <w:ind w:firstLine="567"/>
        <w:jc w:val="both"/>
      </w:pPr>
      <w:r>
        <w:rPr>
          <w:rFonts w:ascii="Arial" w:cs="Arial" w:eastAsia="Arial" w:hAnsi="Arial"/>
          <w:sz w:val="24"/>
          <w:szCs w:val="24"/>
        </w:rPr>
        <w:t xml:space="preserve">Кроме того, поскольку </w:t>
      </w:r>
      <w:r>
        <w:rPr>
          <w:rFonts w:ascii="Arial" w:cs="Arial" w:eastAsia="Arial" w:hAnsi="Arial"/>
          <w:sz w:val="24"/>
          <w:szCs w:val="24"/>
        </w:rPr>
        <w:t xml:space="preserve">статьей 15</w:t>
      </w:r>
      <w:r>
        <w:rPr>
          <w:rFonts w:ascii="Arial" w:cs="Arial" w:eastAsia="Arial" w:hAnsi="Arial"/>
          <w:sz w:val="24"/>
          <w:szCs w:val="24"/>
        </w:rPr>
        <w:t xml:space="preserve"> </w:t>
      </w:r>
      <w:hyperlink w:history="1" r:id="rIdeewyhkcx3fkxpzz8ckhud">
        <w:r>
          <w:rPr>
            <w:rFonts w:ascii="Arial" w:cs="Arial" w:eastAsia="Arial" w:hAnsi="Arial"/>
            <w:color w:val="1D4ED8"/>
            <w:sz w:val="24"/>
            <w:szCs w:val="24"/>
            <w:u w:val="single"/>
          </w:rPr>
          <w:t xml:space="preserve">Земельного кодекса</w:t>
        </w:r>
      </w:hyperlink>
      <w:r>
        <w:rPr>
          <w:rFonts w:ascii="Arial" w:cs="Arial" w:eastAsia="Arial" w:hAnsi="Arial"/>
          <w:sz w:val="24"/>
          <w:szCs w:val="24"/>
        </w:rPr>
        <w:t xml:space="preserve"> Кыргызской Республики регламентирована компетенция районной государственной администрации в сфере регулирования земельных отношений, находящихся в государственной собственности, нормы согласования с местными кенешами разработанных программ, указанные в подпункте "б)" части 5 статьи 1 проекта Закона, предлагаем исключить.</w:t>
      </w:r>
    </w:p>
    <w:p>
      <w:pPr>
        <w:spacing w:after="60"/>
        <w:ind w:firstLine="567"/>
        <w:jc w:val="both"/>
      </w:pPr>
      <w:r>
        <w:rPr>
          <w:rFonts w:ascii="Arial" w:cs="Arial" w:eastAsia="Arial" w:hAnsi="Arial"/>
          <w:sz w:val="24"/>
          <w:szCs w:val="24"/>
        </w:rPr>
        <w:t xml:space="preserve">3. Абзацем пятым части 3 статьи 3 проекта Закона предлагается внести изменения в </w:t>
      </w:r>
      <w:r>
        <w:rPr>
          <w:rFonts w:ascii="Arial" w:cs="Arial" w:eastAsia="Arial" w:hAnsi="Arial"/>
          <w:sz w:val="24"/>
          <w:szCs w:val="24"/>
        </w:rPr>
        <w:t xml:space="preserve">статью 4</w:t>
      </w:r>
      <w:r>
        <w:rPr>
          <w:rFonts w:ascii="Arial" w:cs="Arial" w:eastAsia="Arial" w:hAnsi="Arial"/>
          <w:sz w:val="24"/>
          <w:szCs w:val="24"/>
        </w:rPr>
        <w:t xml:space="preserve"> </w:t>
      </w:r>
      <w:hyperlink w:history="1" r:id="rIdamdbygktephecfffnrzc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местной государственной администрации", в части того, что "Правительство Кыргызской Республики не чаще одного раза в три года определяет министерства, государственные комитеты и административные ведомства, территориальные подразделения которых передаются в ведение и непосредственное подчинение местных государственных администраций и подлежат включению в их структуру вместе с соответствующим финансированием".</w:t>
      </w:r>
    </w:p>
    <w:p>
      <w:pPr>
        <w:spacing w:after="60"/>
        <w:ind w:firstLine="567"/>
        <w:jc w:val="both"/>
      </w:pPr>
      <w:r>
        <w:rPr>
          <w:rFonts w:ascii="Arial" w:cs="Arial" w:eastAsia="Arial" w:hAnsi="Arial"/>
          <w:sz w:val="24"/>
          <w:szCs w:val="24"/>
        </w:rPr>
        <w:t xml:space="preserve">Также абзацем четвертым части 5 статьи 3 проекта Закона предусматривается, что "территориальные службы, указанные в абзаце первом части 3 статьи 4 настоящего Закона, подлежат включению в структуру местной государственной администрации".</w:t>
      </w:r>
    </w:p>
    <w:p>
      <w:pPr>
        <w:spacing w:after="60"/>
        <w:ind w:firstLine="567"/>
        <w:jc w:val="both"/>
      </w:pPr>
      <w:r>
        <w:rPr>
          <w:rFonts w:ascii="Arial" w:cs="Arial" w:eastAsia="Arial" w:hAnsi="Arial"/>
          <w:sz w:val="24"/>
          <w:szCs w:val="24"/>
        </w:rPr>
        <w:t xml:space="preserve">Кроме того, абзацем третьим подпункта "а)" части 1 статьи 3 проекта Закона предлагается часть 2 </w:t>
      </w:r>
      <w:r>
        <w:rPr>
          <w:rFonts w:ascii="Arial" w:cs="Arial" w:eastAsia="Arial" w:hAnsi="Arial"/>
          <w:sz w:val="24"/>
          <w:szCs w:val="24"/>
        </w:rPr>
        <w:t xml:space="preserve">статьи 2</w:t>
      </w:r>
      <w:r>
        <w:rPr>
          <w:rFonts w:ascii="Arial" w:cs="Arial" w:eastAsia="Arial" w:hAnsi="Arial"/>
          <w:sz w:val="24"/>
          <w:szCs w:val="24"/>
        </w:rPr>
        <w:t xml:space="preserve"> </w:t>
      </w:r>
      <w:hyperlink w:history="1" r:id="rIdgyuw9wjjitv55dsceo7o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местной государственной администрации" изложить в новой редакции, согласно которой "местная государственная администрация - государственный орган исполнительной власти, обеспечивающий от имени Правительства Кыргызской Республики государственное управление и согласованную деятельность государственных органов Кыргызской Республики на соответствующей территории, их взаимодействие с органами местного самоуправления и осуществляющий государственный контроль за исполнением органами местного самоуправления делегированных функций и полномочий".</w:t>
      </w:r>
    </w:p>
    <w:p>
      <w:pPr>
        <w:spacing w:after="60"/>
        <w:ind w:firstLine="567"/>
        <w:jc w:val="both"/>
      </w:pPr>
      <w:r>
        <w:rPr>
          <w:rFonts w:ascii="Arial" w:cs="Arial" w:eastAsia="Arial" w:hAnsi="Arial"/>
          <w:sz w:val="24"/>
          <w:szCs w:val="24"/>
        </w:rPr>
        <w:t xml:space="preserve">Между тем согласно части 2 </w:t>
      </w:r>
      <w:r>
        <w:rPr>
          <w:rFonts w:ascii="Arial" w:cs="Arial" w:eastAsia="Arial" w:hAnsi="Arial"/>
          <w:sz w:val="24"/>
          <w:szCs w:val="24"/>
        </w:rPr>
        <w:t xml:space="preserve">статьи 27</w:t>
      </w:r>
      <w:r>
        <w:rPr>
          <w:rFonts w:ascii="Arial" w:cs="Arial" w:eastAsia="Arial" w:hAnsi="Arial"/>
          <w:sz w:val="24"/>
          <w:szCs w:val="24"/>
        </w:rPr>
        <w:t xml:space="preserve"> </w:t>
      </w:r>
      <w:hyperlink w:history="1" r:id="rIde1hiodgjhohblu0t0iqbk">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местная государственная администрация обеспечивает на соответствующей территории района согласованную деятельность территориальных подразделений министерств, государственных комитетов и административных ведомств.</w:t>
      </w:r>
    </w:p>
    <w:p>
      <w:pPr>
        <w:spacing w:after="60"/>
        <w:ind w:firstLine="567"/>
        <w:jc w:val="both"/>
      </w:pPr>
      <w:r>
        <w:rPr>
          <w:rFonts w:ascii="Arial" w:cs="Arial" w:eastAsia="Arial" w:hAnsi="Arial"/>
          <w:sz w:val="24"/>
          <w:szCs w:val="24"/>
        </w:rPr>
        <w:t xml:space="preserve">При этом отмечаем, что функции государственного управления территориальными подразделениями государственных органов не закреплены упомянутым конституционным Законом за местными государственными администрациями.</w:t>
      </w:r>
    </w:p>
    <w:p>
      <w:pPr>
        <w:spacing w:after="60"/>
        <w:ind w:firstLine="567"/>
        <w:jc w:val="both"/>
      </w:pPr>
      <w:r>
        <w:rPr>
          <w:rFonts w:ascii="Arial" w:cs="Arial" w:eastAsia="Arial" w:hAnsi="Arial"/>
          <w:sz w:val="24"/>
          <w:szCs w:val="24"/>
        </w:rPr>
        <w:t xml:space="preserve">Кроме того, государственные органы, в частности, министерства, государственные комитеты или административные ведомства осуществляют конкретные отраслевые (межотраслевые) функции, реализующие цели и задачи в рамках своей компетенции.</w:t>
      </w:r>
    </w:p>
    <w:p>
      <w:pPr>
        <w:spacing w:after="60"/>
        <w:ind w:firstLine="567"/>
        <w:jc w:val="both"/>
      </w:pPr>
      <w:r>
        <w:rPr>
          <w:rFonts w:ascii="Arial" w:cs="Arial" w:eastAsia="Arial" w:hAnsi="Arial"/>
          <w:sz w:val="24"/>
          <w:szCs w:val="24"/>
        </w:rPr>
        <w:t xml:space="preserve">Вместе с тем, в настоящее время в местных государственных администрациях отсутствуют или в недостаточной степени сформированы механизмы реализации соответствующих функций и задач территориальных подразделений государственных органов, что может сделать невозможным осуществление оценки деятельности территориальных подразделений государственных органов.</w:t>
      </w:r>
    </w:p>
    <w:p>
      <w:pPr>
        <w:spacing w:after="60"/>
        <w:ind w:firstLine="567"/>
        <w:jc w:val="both"/>
      </w:pPr>
      <w:r>
        <w:rPr>
          <w:rFonts w:ascii="Arial" w:cs="Arial" w:eastAsia="Arial" w:hAnsi="Arial"/>
          <w:sz w:val="24"/>
          <w:szCs w:val="24"/>
        </w:rPr>
        <w:t xml:space="preserve">При этом, абзацем шестым части 3 статьи 3 проекта Закона предусматривается, что "не подлежат передаче в ведение и непосредственное управление местных государственных администраций территориальные подразделения государственных органов: национальной безопасности; борьбы с экономическими преступлениями; государственной статистики Кыргызской Республики; обороны.".</w:t>
      </w:r>
    </w:p>
    <w:p>
      <w:pPr>
        <w:spacing w:after="60"/>
        <w:ind w:firstLine="567"/>
        <w:jc w:val="both"/>
      </w:pPr>
      <w:r>
        <w:rPr>
          <w:rFonts w:ascii="Arial" w:cs="Arial" w:eastAsia="Arial" w:hAnsi="Arial"/>
          <w:sz w:val="24"/>
          <w:szCs w:val="24"/>
        </w:rPr>
        <w:t xml:space="preserve">Вместе с тем отмечаем, что в случае передачи территориальных подразделений органов внутренних дел, таможенных органов и налоговой службы в ведение местных государственных администраций сотрудники названных органов будут являться сотрудниками местной государственной администрации, и их назначение на должность и освобождение от должности будет зависеть от главы государственной администрации района - акима (далее - аким), а не от руководителя центрального государственного органа.</w:t>
      </w:r>
    </w:p>
    <w:p>
      <w:pPr>
        <w:spacing w:after="60"/>
        <w:ind w:firstLine="567"/>
        <w:jc w:val="both"/>
      </w:pPr>
      <w:r>
        <w:rPr>
          <w:rFonts w:ascii="Arial" w:cs="Arial" w:eastAsia="Arial" w:hAnsi="Arial"/>
          <w:sz w:val="24"/>
          <w:szCs w:val="24"/>
        </w:rPr>
        <w:t xml:space="preserve">В этой связи могут возникнуть следующие вопросы.</w:t>
      </w:r>
    </w:p>
    <w:p>
      <w:pPr>
        <w:spacing w:after="60"/>
        <w:ind w:firstLine="567"/>
        <w:jc w:val="both"/>
      </w:pPr>
      <w:r>
        <w:rPr>
          <w:rFonts w:ascii="Arial" w:cs="Arial" w:eastAsia="Arial" w:hAnsi="Arial"/>
          <w:sz w:val="24"/>
          <w:szCs w:val="24"/>
        </w:rPr>
        <w:t xml:space="preserve">Так, например, включение Министерства внутренних дел Кыргызской Республики как правоохранительного органа в перечень министерств, территориальные подразделения которых по решению Правительства Кыргызской Республики подлежат переходу в непосредственное подчинение местных государственных администраций, может привести к ситуации, когда территориальные подразделения правоохранительного органа будут включены в структуру местной государственной администрации вместе с соответствующими штатом и финансированием. Однако необходимо принять во внимание, что штатная численность органов внутренних дел носит секретный характер, а штатная численность местной государственной администрации относится к открытой информации.</w:t>
      </w:r>
    </w:p>
    <w:p>
      <w:pPr>
        <w:spacing w:after="60"/>
        <w:ind w:firstLine="567"/>
        <w:jc w:val="both"/>
      </w:pPr>
      <w:r>
        <w:rPr>
          <w:rFonts w:ascii="Arial" w:cs="Arial" w:eastAsia="Arial" w:hAnsi="Arial"/>
          <w:sz w:val="24"/>
          <w:szCs w:val="24"/>
        </w:rPr>
        <w:t xml:space="preserve">Также, в данном случае содержание деятельности органов внутренних дел может повлечь за собой возникновение ситуаций, когда их деятельность будет определяться не целями и задачами, состоящими в определении конкретной оперативной обстановки, а решением задач, исходящих из потребностей и требований руководителя местной государственной администрации.</w:t>
      </w:r>
    </w:p>
    <w:p>
      <w:pPr>
        <w:spacing w:after="60"/>
        <w:ind w:firstLine="567"/>
        <w:jc w:val="both"/>
      </w:pPr>
      <w:r>
        <w:rPr>
          <w:rFonts w:ascii="Arial" w:cs="Arial" w:eastAsia="Arial" w:hAnsi="Arial"/>
          <w:sz w:val="24"/>
          <w:szCs w:val="24"/>
        </w:rPr>
        <w:t xml:space="preserve">Специфика деятельности, осуществляемой органами внутренних дел, предполагает решение вопросов, сопряженных с осуществлением оперативно-розыскной деятельности, противодействием организованной преступности, проявлениями экстремизма и терроризма, что требует наличия у должностных лиц, уполномоченных назначать руководителей и сотрудников территориальных подразделений органов внутренних дел Кыргызской Республики, соответствующего опыта и стажа работы в органах внутренних дел. Отсутствие такого опыта у акима несет в себе риски назначения на должность некомпетентных сотрудников и ослабление кадрового потенциала органов внутренних дел в регионах, а также расширение возможностей для сращивания криминала с местной властью.</w:t>
      </w:r>
    </w:p>
    <w:p>
      <w:pPr>
        <w:spacing w:after="60"/>
        <w:ind w:firstLine="567"/>
        <w:jc w:val="both"/>
      </w:pPr>
      <w:r>
        <w:rPr>
          <w:rFonts w:ascii="Arial" w:cs="Arial" w:eastAsia="Arial" w:hAnsi="Arial"/>
          <w:sz w:val="24"/>
          <w:szCs w:val="24"/>
        </w:rPr>
        <w:t xml:space="preserve">Также отмечаем, что согласно части 8 </w:t>
      </w:r>
      <w:r>
        <w:rPr>
          <w:rFonts w:ascii="Arial" w:cs="Arial" w:eastAsia="Arial" w:hAnsi="Arial"/>
          <w:sz w:val="24"/>
          <w:szCs w:val="24"/>
        </w:rPr>
        <w:t xml:space="preserve">статьи 351</w:t>
      </w:r>
      <w:r>
        <w:rPr>
          <w:rFonts w:ascii="Arial" w:cs="Arial" w:eastAsia="Arial" w:hAnsi="Arial"/>
          <w:sz w:val="24"/>
          <w:szCs w:val="24"/>
        </w:rPr>
        <w:t xml:space="preserve"> Таможенного кодекса Евразийского экономического союза (ратифицирован </w:t>
      </w:r>
      <w:hyperlink w:history="1" r:id="rId77nschygowymlet57jdi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от 30 декабря 2017 года № 223 (28)) система таможенных органов и условия прохождения службы в таможенных органах устанавливаются законодательством государств-членов.</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18</w:t>
      </w:r>
      <w:r>
        <w:rPr>
          <w:rFonts w:ascii="Arial" w:cs="Arial" w:eastAsia="Arial" w:hAnsi="Arial"/>
          <w:sz w:val="24"/>
          <w:szCs w:val="24"/>
        </w:rPr>
        <w:t xml:space="preserve"> </w:t>
      </w:r>
      <w:hyperlink w:history="1" r:id="rIdmq_gpdelqwn_9cozkjel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прохождении службы в таможенных органах Кыргызской Республики" сотрудники таможенных органов, кроме руководителя уполномоченного государственного органа в сфере таможенного дела и его заместителей, назначаются на должности и освобождаются от должностей приказом руководителя уполномоченного государственного органа в сфере таможенного дела.</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264</w:t>
      </w:r>
      <w:r>
        <w:rPr>
          <w:rFonts w:ascii="Arial" w:cs="Arial" w:eastAsia="Arial" w:hAnsi="Arial"/>
          <w:sz w:val="24"/>
          <w:szCs w:val="24"/>
        </w:rPr>
        <w:t xml:space="preserve"> </w:t>
      </w:r>
      <w:hyperlink w:history="1" r:id="rIdx6regdprxfqhfqywhsrp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 регулировании в Кыргызской Республике" никакие государственные органы, кроме высших органов законодательной и исполнительной власти Кыргызской Республики, не вправе принимать решения, затрагивающие компетенцию таможенных органов, выполнять без соответствующего допуска или изменять их функции, возлагать на них дополнительные задачи или иным образом вмешиваться в деятельность этих органов, которая соответствует законодательству Кыргызской Республики.</w:t>
      </w:r>
    </w:p>
    <w:p>
      <w:pPr>
        <w:spacing w:after="60"/>
        <w:ind w:firstLine="567"/>
        <w:jc w:val="both"/>
      </w:pPr>
      <w:r>
        <w:rPr>
          <w:rFonts w:ascii="Arial" w:cs="Arial" w:eastAsia="Arial" w:hAnsi="Arial"/>
          <w:sz w:val="24"/>
          <w:szCs w:val="24"/>
        </w:rPr>
        <w:t xml:space="preserve">Помимо этого, как подчеркивает Государственная налоговая служба при Правительстве Кыргызской Республики, в соответствии с частями 2 и 3 </w:t>
      </w:r>
      <w:r>
        <w:rPr>
          <w:rFonts w:ascii="Arial" w:cs="Arial" w:eastAsia="Arial" w:hAnsi="Arial"/>
          <w:sz w:val="24"/>
          <w:szCs w:val="24"/>
        </w:rPr>
        <w:t xml:space="preserve">статьи 47</w:t>
      </w:r>
      <w:r>
        <w:rPr>
          <w:rFonts w:ascii="Arial" w:cs="Arial" w:eastAsia="Arial" w:hAnsi="Arial"/>
          <w:sz w:val="24"/>
          <w:szCs w:val="24"/>
        </w:rPr>
        <w:t xml:space="preserve"> </w:t>
      </w:r>
      <w:hyperlink w:history="1" r:id="rIdw94hgobmefmdk6gsrw1nu">
        <w:r>
          <w:rPr>
            <w:rFonts w:ascii="Arial" w:cs="Arial" w:eastAsia="Arial" w:hAnsi="Arial"/>
            <w:color w:val="1D4ED8"/>
            <w:sz w:val="24"/>
            <w:szCs w:val="24"/>
            <w:u w:val="single"/>
          </w:rPr>
          <w:t xml:space="preserve">Налогового кодекса</w:t>
        </w:r>
      </w:hyperlink>
      <w:r>
        <w:rPr>
          <w:rFonts w:ascii="Arial" w:cs="Arial" w:eastAsia="Arial" w:hAnsi="Arial"/>
          <w:sz w:val="24"/>
          <w:szCs w:val="24"/>
        </w:rPr>
        <w:t xml:space="preserve"> Кыргызской Республики налоговые органы не подчиняются местным государственным администрациям и органам местного самоуправления. Запрещается вмешательство государственных органов и органов местного самоуправления в деятельность органов налоговой службы, уполномоченного государственного органа при осуществлении ими своих полномочий, установленных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Также, как отмечает Министерство образования и науки Кыргызской Республики, согласно части 1 </w:t>
      </w:r>
      <w:r>
        <w:rPr>
          <w:rFonts w:ascii="Arial" w:cs="Arial" w:eastAsia="Arial" w:hAnsi="Arial"/>
          <w:sz w:val="24"/>
          <w:szCs w:val="24"/>
        </w:rPr>
        <w:t xml:space="preserve">статьи 2</w:t>
      </w:r>
      <w:r>
        <w:rPr>
          <w:rFonts w:ascii="Arial" w:cs="Arial" w:eastAsia="Arial" w:hAnsi="Arial"/>
          <w:sz w:val="24"/>
          <w:szCs w:val="24"/>
        </w:rPr>
        <w:t xml:space="preserve"> </w:t>
      </w:r>
      <w:hyperlink w:history="1" r:id="rIdpcxtzrjxgb4ttqxkzesz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провозглашено, что права и свободы человека относятся к высшим ценностям Кыргызской Республики. Право на образование, установленное </w:t>
      </w:r>
      <w:r>
        <w:rPr>
          <w:rFonts w:ascii="Arial" w:cs="Arial" w:eastAsia="Arial" w:hAnsi="Arial"/>
          <w:sz w:val="24"/>
          <w:szCs w:val="24"/>
        </w:rPr>
        <w:t xml:space="preserve">статьей 45</w:t>
      </w:r>
      <w:r>
        <w:rPr>
          <w:rFonts w:ascii="Arial" w:cs="Arial" w:eastAsia="Arial" w:hAnsi="Arial"/>
          <w:sz w:val="24"/>
          <w:szCs w:val="24"/>
        </w:rPr>
        <w:t xml:space="preserve"> </w:t>
      </w:r>
      <w:hyperlink w:history="1" r:id="rIdyhymmdh7tjwwrezdojyu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признается одним из фундаментальных прав личности.</w:t>
      </w:r>
    </w:p>
    <w:p>
      <w:pPr>
        <w:spacing w:after="60"/>
        <w:ind w:firstLine="567"/>
        <w:jc w:val="both"/>
      </w:pPr>
      <w:r>
        <w:rPr>
          <w:rFonts w:ascii="Arial" w:cs="Arial" w:eastAsia="Arial" w:hAnsi="Arial"/>
          <w:sz w:val="24"/>
          <w:szCs w:val="24"/>
        </w:rPr>
        <w:t xml:space="preserve">В соответствии с частью 1 </w:t>
      </w:r>
      <w:r>
        <w:rPr>
          <w:rFonts w:ascii="Arial" w:cs="Arial" w:eastAsia="Arial" w:hAnsi="Arial"/>
          <w:sz w:val="24"/>
          <w:szCs w:val="24"/>
        </w:rPr>
        <w:t xml:space="preserve">статьи 4</w:t>
      </w:r>
      <w:r>
        <w:rPr>
          <w:rFonts w:ascii="Arial" w:cs="Arial" w:eastAsia="Arial" w:hAnsi="Arial"/>
          <w:sz w:val="24"/>
          <w:szCs w:val="24"/>
        </w:rPr>
        <w:t xml:space="preserve"> </w:t>
      </w:r>
      <w:hyperlink w:history="1" r:id="rId9oho8vp-eljoxytj953s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образовании" образование является приоритетным стратегическим направлением государственной политики Кыргызской Республики.</w:t>
      </w:r>
    </w:p>
    <w:p>
      <w:pPr>
        <w:spacing w:after="60"/>
        <w:ind w:firstLine="567"/>
        <w:jc w:val="both"/>
      </w:pPr>
      <w:r>
        <w:rPr>
          <w:rFonts w:ascii="Arial" w:cs="Arial" w:eastAsia="Arial" w:hAnsi="Arial"/>
          <w:sz w:val="24"/>
          <w:szCs w:val="24"/>
        </w:rPr>
        <w:t xml:space="preserve">Согласно части 1 </w:t>
      </w:r>
      <w:r>
        <w:rPr>
          <w:rFonts w:ascii="Arial" w:cs="Arial" w:eastAsia="Arial" w:hAnsi="Arial"/>
          <w:sz w:val="24"/>
          <w:szCs w:val="24"/>
        </w:rPr>
        <w:t xml:space="preserve">статьи 34</w:t>
      </w:r>
      <w:r>
        <w:rPr>
          <w:rFonts w:ascii="Arial" w:cs="Arial" w:eastAsia="Arial" w:hAnsi="Arial"/>
          <w:sz w:val="24"/>
          <w:szCs w:val="24"/>
        </w:rPr>
        <w:t xml:space="preserve"> указанного Закона управление системой образования осуществляется Правительством Кыргызской Республики, центральным и региональными органами государственного управления образованием Кыргызской Республики, органами местного самоуправления.</w:t>
      </w:r>
    </w:p>
    <w:p>
      <w:pPr>
        <w:spacing w:after="60"/>
        <w:ind w:firstLine="567"/>
        <w:jc w:val="both"/>
      </w:pPr>
      <w:r>
        <w:rPr>
          <w:rFonts w:ascii="Arial" w:cs="Arial" w:eastAsia="Arial" w:hAnsi="Arial"/>
          <w:sz w:val="24"/>
          <w:szCs w:val="24"/>
        </w:rPr>
        <w:t xml:space="preserve">Учитывая изложенное, поскольку содержание проекта Закона затрагивает сферу других законов Кыргызской Республики, а изменения, предлагаемые проектом Закона, вступают в противоречие с действующими законами, следует внести соответствующие поправки в ряд других отраслевых законов либо устранить противоречия между ними.</w:t>
      </w:r>
    </w:p>
    <w:p>
      <w:pPr>
        <w:spacing w:after="60"/>
        <w:ind w:firstLine="567"/>
        <w:jc w:val="both"/>
      </w:pPr>
      <w:r>
        <w:rPr>
          <w:rFonts w:ascii="Arial" w:cs="Arial" w:eastAsia="Arial" w:hAnsi="Arial"/>
          <w:sz w:val="24"/>
          <w:szCs w:val="24"/>
        </w:rPr>
        <w:t xml:space="preserve">4. Абзацем десятым подпункта "а)" части 8 статьи 3 проекта Закона предлагается установить, что "аким в установленных законом случаях и порядке освобождает от занимаемой должности главу исполнительного органа местного самоуправления, дает согласие на проведение проверок органов местного самоуправления, если такие проверки не проводятся в порядке уголовно-процессуального законодательства".</w:t>
      </w:r>
    </w:p>
    <w:p>
      <w:pPr>
        <w:spacing w:after="60"/>
        <w:ind w:firstLine="567"/>
        <w:jc w:val="both"/>
      </w:pPr>
      <w:r>
        <w:rPr>
          <w:rFonts w:ascii="Arial" w:cs="Arial" w:eastAsia="Arial" w:hAnsi="Arial"/>
          <w:sz w:val="24"/>
          <w:szCs w:val="24"/>
        </w:rPr>
        <w:t xml:space="preserve">Вместе с тем отмечаем, что согласно </w:t>
      </w:r>
      <w:r>
        <w:rPr>
          <w:rFonts w:ascii="Arial" w:cs="Arial" w:eastAsia="Arial" w:hAnsi="Arial"/>
          <w:sz w:val="24"/>
          <w:szCs w:val="24"/>
        </w:rPr>
        <w:t xml:space="preserve">статье 2</w:t>
      </w:r>
      <w:r>
        <w:rPr>
          <w:rFonts w:ascii="Arial" w:cs="Arial" w:eastAsia="Arial" w:hAnsi="Arial"/>
          <w:sz w:val="24"/>
          <w:szCs w:val="24"/>
        </w:rPr>
        <w:t xml:space="preserve"> </w:t>
      </w:r>
      <w:hyperlink w:history="1" r:id="rIdquo_pc750cvjmbhs2k9g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исполнительными органами местного самоуправления являются мэрии городов, айыл окмоту.</w:t>
      </w:r>
    </w:p>
    <w:p>
      <w:pPr>
        <w:spacing w:after="60"/>
        <w:ind w:firstLine="567"/>
        <w:jc w:val="both"/>
      </w:pPr>
      <w:r>
        <w:rPr>
          <w:rFonts w:ascii="Arial" w:cs="Arial" w:eastAsia="Arial" w:hAnsi="Arial"/>
          <w:sz w:val="24"/>
          <w:szCs w:val="24"/>
        </w:rPr>
        <w:t xml:space="preserve">При этом в случаях, установленных частью 6 </w:t>
      </w:r>
      <w:r>
        <w:rPr>
          <w:rFonts w:ascii="Arial" w:cs="Arial" w:eastAsia="Arial" w:hAnsi="Arial"/>
          <w:sz w:val="24"/>
          <w:szCs w:val="24"/>
        </w:rPr>
        <w:t xml:space="preserve">статьи 43</w:t>
      </w:r>
      <w:r>
        <w:rPr>
          <w:rFonts w:ascii="Arial" w:cs="Arial" w:eastAsia="Arial" w:hAnsi="Arial"/>
          <w:sz w:val="24"/>
          <w:szCs w:val="24"/>
        </w:rPr>
        <w:t xml:space="preserve"> </w:t>
      </w:r>
      <w:hyperlink w:history="1" r:id="rIdawyakigqw3zcjmifehnl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мэр города может быть досрочно освобожден от занимаемой должности Премьер-министром, а также согласно части 7 </w:t>
      </w:r>
      <w:r>
        <w:rPr>
          <w:rFonts w:ascii="Arial" w:cs="Arial" w:eastAsia="Arial" w:hAnsi="Arial"/>
          <w:sz w:val="24"/>
          <w:szCs w:val="24"/>
        </w:rPr>
        <w:t xml:space="preserve">статьи 49</w:t>
      </w:r>
      <w:r>
        <w:rPr>
          <w:rFonts w:ascii="Arial" w:cs="Arial" w:eastAsia="Arial" w:hAnsi="Arial"/>
          <w:sz w:val="24"/>
          <w:szCs w:val="24"/>
        </w:rPr>
        <w:t xml:space="preserve"> вышеуказанного Закона глава айыл окмоту может быть досрочно освобожден от занимаемой должности акимом.</w:t>
      </w:r>
    </w:p>
    <w:p>
      <w:pPr>
        <w:spacing w:after="60"/>
        <w:ind w:firstLine="567"/>
        <w:jc w:val="both"/>
      </w:pPr>
      <w:r>
        <w:rPr>
          <w:rFonts w:ascii="Arial" w:cs="Arial" w:eastAsia="Arial" w:hAnsi="Arial"/>
          <w:sz w:val="24"/>
          <w:szCs w:val="24"/>
        </w:rPr>
        <w:t xml:space="preserve">Также предлагаем принять во внимание, что </w:t>
      </w:r>
      <w:r>
        <w:rPr>
          <w:rFonts w:ascii="Arial" w:cs="Arial" w:eastAsia="Arial" w:hAnsi="Arial"/>
          <w:sz w:val="24"/>
          <w:szCs w:val="24"/>
        </w:rPr>
        <w:t xml:space="preserve">главой 3</w:t>
      </w:r>
      <w:r>
        <w:rPr>
          <w:rFonts w:ascii="Arial" w:cs="Arial" w:eastAsia="Arial" w:hAnsi="Arial"/>
          <w:sz w:val="24"/>
          <w:szCs w:val="24"/>
        </w:rPr>
        <w:t xml:space="preserve"> </w:t>
      </w:r>
      <w:hyperlink w:history="1" r:id="rIdqhf3nyplvple8dclb35s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порядке проведения проверок деятельности органов местного самоуправления" определен порядок согласования проверок с органами прокуратуры.</w:t>
      </w:r>
    </w:p>
    <w:p>
      <w:pPr>
        <w:spacing w:after="60"/>
        <w:ind w:firstLine="567"/>
        <w:jc w:val="both"/>
      </w:pPr>
      <w:r>
        <w:rPr>
          <w:rFonts w:ascii="Arial" w:cs="Arial" w:eastAsia="Arial" w:hAnsi="Arial"/>
          <w:sz w:val="24"/>
          <w:szCs w:val="24"/>
        </w:rPr>
        <w:t xml:space="preserve">5. Подпунктом "в)" части 8 статьи 3 проекта Закона предусматривается </w:t>
      </w:r>
      <w:r>
        <w:rPr>
          <w:rFonts w:ascii="Arial" w:cs="Arial" w:eastAsia="Arial" w:hAnsi="Arial"/>
          <w:sz w:val="24"/>
          <w:szCs w:val="24"/>
        </w:rPr>
        <w:t xml:space="preserve">статью 11</w:t>
      </w:r>
      <w:r>
        <w:rPr>
          <w:rFonts w:ascii="Arial" w:cs="Arial" w:eastAsia="Arial" w:hAnsi="Arial"/>
          <w:sz w:val="24"/>
          <w:szCs w:val="24"/>
        </w:rPr>
        <w:t xml:space="preserve"> </w:t>
      </w:r>
      <w:hyperlink w:history="1" r:id="rIddlukoeng7oasksnbtmnc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местной государственной администрации" дополнить частью 2-1, согласно которой "руководитель соответствующего министерства, государственного комитета или административного ведомства вправе обжаловать решение акима о назначении или освобождении от должности руководителя территориальной службы Премьер-министру Кыргызской Республики, решение которого является окончательным".</w:t>
      </w:r>
    </w:p>
    <w:p>
      <w:pPr>
        <w:spacing w:after="60"/>
        <w:ind w:firstLine="567"/>
        <w:jc w:val="both"/>
      </w:pPr>
      <w:r>
        <w:rPr>
          <w:rFonts w:ascii="Arial" w:cs="Arial" w:eastAsia="Arial" w:hAnsi="Arial"/>
          <w:sz w:val="24"/>
          <w:szCs w:val="24"/>
        </w:rPr>
        <w:t xml:space="preserve">Вместе с этим следует учесть, что в пунктах 15-27 части 2 </w:t>
      </w:r>
      <w:r>
        <w:rPr>
          <w:rFonts w:ascii="Arial" w:cs="Arial" w:eastAsia="Arial" w:hAnsi="Arial"/>
          <w:sz w:val="24"/>
          <w:szCs w:val="24"/>
        </w:rPr>
        <w:t xml:space="preserve">статьи 18</w:t>
      </w:r>
      <w:r>
        <w:rPr>
          <w:rFonts w:ascii="Arial" w:cs="Arial" w:eastAsia="Arial" w:hAnsi="Arial"/>
          <w:sz w:val="24"/>
          <w:szCs w:val="24"/>
        </w:rPr>
        <w:t xml:space="preserve"> </w:t>
      </w:r>
      <w:hyperlink w:history="1" r:id="rIdgdtwmwbvd-atezqlvolio">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определен перечень лиц, которых назначает на должность и освобождает от должности Премьер-министр Кыргызской Республики.</w:t>
      </w:r>
    </w:p>
    <w:p>
      <w:pPr>
        <w:spacing w:after="60"/>
        <w:ind w:firstLine="567"/>
        <w:jc w:val="both"/>
      </w:pPr>
      <w:r>
        <w:rPr>
          <w:rFonts w:ascii="Arial" w:cs="Arial" w:eastAsia="Arial" w:hAnsi="Arial"/>
          <w:sz w:val="24"/>
          <w:szCs w:val="24"/>
        </w:rPr>
        <w:t xml:space="preserve">6. Абзацем девятым части 4 статьи 5 проекта Закона предлагается установить ряд полномочий представителя, уполномоченного временно управлять делами местного сообщества, среди которых предусмотрены полномочия по утверждению бюджета местного кенеша (если он не утвержден на соответствующий год) в случае введения прямого государственного управления.</w:t>
      </w:r>
    </w:p>
    <w:p>
      <w:pPr>
        <w:spacing w:after="60"/>
        <w:ind w:firstLine="567"/>
        <w:jc w:val="both"/>
      </w:pPr>
      <w:r>
        <w:rPr>
          <w:rFonts w:ascii="Arial" w:cs="Arial" w:eastAsia="Arial" w:hAnsi="Arial"/>
          <w:sz w:val="24"/>
          <w:szCs w:val="24"/>
        </w:rPr>
        <w:t xml:space="preserve">Однако необходимо обратить внимание, что в соответствии со </w:t>
      </w:r>
      <w:r>
        <w:rPr>
          <w:rFonts w:ascii="Arial" w:cs="Arial" w:eastAsia="Arial" w:hAnsi="Arial"/>
          <w:sz w:val="24"/>
          <w:szCs w:val="24"/>
        </w:rPr>
        <w:t xml:space="preserve">статьей 13</w:t>
      </w:r>
      <w:r>
        <w:rPr>
          <w:rFonts w:ascii="Arial" w:cs="Arial" w:eastAsia="Arial" w:hAnsi="Arial"/>
          <w:sz w:val="24"/>
          <w:szCs w:val="24"/>
        </w:rPr>
        <w:t xml:space="preserve"> </w:t>
      </w:r>
      <w:hyperlink w:history="1" r:id="rIdajcm-74pdh9ly4r5hqk5h">
        <w:r>
          <w:rPr>
            <w:rFonts w:ascii="Arial" w:cs="Arial" w:eastAsia="Arial" w:hAnsi="Arial"/>
            <w:color w:val="1D4ED8"/>
            <w:sz w:val="24"/>
            <w:szCs w:val="24"/>
            <w:u w:val="single"/>
          </w:rPr>
          <w:t xml:space="preserve">Бюджетного кодекса</w:t>
        </w:r>
      </w:hyperlink>
      <w:r>
        <w:rPr>
          <w:rFonts w:ascii="Arial" w:cs="Arial" w:eastAsia="Arial" w:hAnsi="Arial"/>
          <w:sz w:val="24"/>
          <w:szCs w:val="24"/>
        </w:rPr>
        <w:t xml:space="preserve"> Кыргызской Республики местный бюджет - бюджет местного сообщества айылного аймака и города, формирование, утверждение, исполнение и контроль которого осуществляют органы местного самоуправления. Местные бюджеты утверждаются нормативными правовыми актами местных кенешей.</w:t>
      </w:r>
    </w:p>
    <w:p>
      <w:pPr>
        <w:spacing w:after="60"/>
        <w:ind w:firstLine="567"/>
        <w:jc w:val="both"/>
      </w:pPr>
      <w:r>
        <w:rPr>
          <w:rFonts w:ascii="Arial" w:cs="Arial" w:eastAsia="Arial" w:hAnsi="Arial"/>
          <w:sz w:val="24"/>
          <w:szCs w:val="24"/>
        </w:rPr>
        <w:t xml:space="preserve">Учитывая, что положения, предусмотренные частью 4 статьи 5 проекта Закона, вступают в противоречие с нормами указанного Кодекса, предлагаем устранить противоречия.</w:t>
      </w:r>
    </w:p>
    <w:p>
      <w:pPr>
        <w:spacing w:after="60"/>
        <w:ind w:firstLine="567"/>
        <w:jc w:val="both"/>
      </w:pPr>
      <w:r>
        <w:rPr>
          <w:rFonts w:ascii="Arial" w:cs="Arial" w:eastAsia="Arial" w:hAnsi="Arial"/>
          <w:sz w:val="24"/>
          <w:szCs w:val="24"/>
        </w:rPr>
        <w:t xml:space="preserve">7. Подпунктом "б)" части 15 статьи 5 проекта Закона предлагается часть 6 </w:t>
      </w:r>
      <w:r>
        <w:rPr>
          <w:rFonts w:ascii="Arial" w:cs="Arial" w:eastAsia="Arial" w:hAnsi="Arial"/>
          <w:sz w:val="24"/>
          <w:szCs w:val="24"/>
        </w:rPr>
        <w:t xml:space="preserve">статьи 46</w:t>
      </w:r>
      <w:r>
        <w:rPr>
          <w:rFonts w:ascii="Arial" w:cs="Arial" w:eastAsia="Arial" w:hAnsi="Arial"/>
          <w:sz w:val="24"/>
          <w:szCs w:val="24"/>
        </w:rPr>
        <w:t xml:space="preserve"> </w:t>
      </w:r>
      <w:hyperlink w:history="1" r:id="rId5y3fzjmtqmdlhq0hsqor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изложить в новой редакции, согласно которой "структура и штатное расписание айыл окмоту определяются типовым нормативом, установленным Правительством Кыргызской Республики. В структуру айыл окмоту обязательно должны входить участковый врач, ветеринарный врач, сотрудник органов внутренних дел (участковый инспектор)".</w:t>
      </w:r>
    </w:p>
    <w:p>
      <w:pPr>
        <w:spacing w:after="60"/>
        <w:ind w:firstLine="567"/>
        <w:jc w:val="both"/>
      </w:pPr>
      <w:r>
        <w:rPr>
          <w:rFonts w:ascii="Arial" w:cs="Arial" w:eastAsia="Arial" w:hAnsi="Arial"/>
          <w:sz w:val="24"/>
          <w:szCs w:val="24"/>
        </w:rPr>
        <w:t xml:space="preserve">Между тем данная норма проекта Закона противоречит части 3 </w:t>
      </w:r>
      <w:r>
        <w:rPr>
          <w:rFonts w:ascii="Arial" w:cs="Arial" w:eastAsia="Arial" w:hAnsi="Arial"/>
          <w:sz w:val="24"/>
          <w:szCs w:val="24"/>
        </w:rPr>
        <w:t xml:space="preserve">статьи 19</w:t>
      </w:r>
      <w:r>
        <w:rPr>
          <w:rFonts w:ascii="Arial" w:cs="Arial" w:eastAsia="Arial" w:hAnsi="Arial"/>
          <w:sz w:val="24"/>
          <w:szCs w:val="24"/>
        </w:rPr>
        <w:t xml:space="preserve"> </w:t>
      </w:r>
      <w:hyperlink w:history="1" r:id="rIdeg3vjh0uf64sn81vtcyy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ветеринарии", поскольку согласно указанному Закону должностные лица, осуществляющие государственный ветеринарный надзор, являются независимыми и руководствуются требованиями законодательства Кыргызской Республики в области ветеринарии.</w:t>
      </w:r>
    </w:p>
    <w:p>
      <w:pPr>
        <w:spacing w:after="60"/>
        <w:ind w:firstLine="567"/>
        <w:jc w:val="both"/>
      </w:pPr>
      <w:r>
        <w:rPr>
          <w:rFonts w:ascii="Arial" w:cs="Arial" w:eastAsia="Arial" w:hAnsi="Arial"/>
          <w:sz w:val="24"/>
          <w:szCs w:val="24"/>
        </w:rPr>
        <w:t xml:space="preserve">Кроме того, в соответствии со </w:t>
      </w:r>
      <w:r>
        <w:rPr>
          <w:rFonts w:ascii="Arial" w:cs="Arial" w:eastAsia="Arial" w:hAnsi="Arial"/>
          <w:sz w:val="24"/>
          <w:szCs w:val="24"/>
        </w:rPr>
        <w:t xml:space="preserve">статьей 7</w:t>
      </w:r>
      <w:r>
        <w:rPr>
          <w:rFonts w:ascii="Arial" w:cs="Arial" w:eastAsia="Arial" w:hAnsi="Arial"/>
          <w:sz w:val="24"/>
          <w:szCs w:val="24"/>
        </w:rPr>
        <w:t xml:space="preserve"> </w:t>
      </w:r>
      <w:hyperlink w:history="1" r:id="rIdcy3odd4emsrsm0mnqbt1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органах внутренних дел Кыргызской Республики" порядок и условия прохождения службы в органах внутренних дел регламентируются обозначенным Законом и Положением о прохождении службы рядовым и начальствующим составом органов внутренних дел, утверждаемым Правительством Кыргызской Республики.</w:t>
      </w:r>
    </w:p>
    <w:p>
      <w:pPr>
        <w:spacing w:after="60"/>
        <w:ind w:firstLine="567"/>
        <w:jc w:val="both"/>
      </w:pPr>
      <w:r>
        <w:rPr>
          <w:rFonts w:ascii="Arial" w:cs="Arial" w:eastAsia="Arial" w:hAnsi="Arial"/>
          <w:sz w:val="24"/>
          <w:szCs w:val="24"/>
        </w:rPr>
        <w:t xml:space="preserve">В порядке информации сообщаем, что на рассмотрении в Жогорку Кенеше Кыргызской Республики находится проект Закона Кыргызской Республики "О прохождении службы в правоохранительных органах Кыргызской Республики", инициированный Правительством Кыргызской Республики (</w:t>
      </w:r>
      <w:r>
        <w:rPr>
          <w:rFonts w:ascii="Arial" w:cs="Arial" w:eastAsia="Arial" w:hAnsi="Arial"/>
          <w:sz w:val="24"/>
          <w:szCs w:val="24"/>
        </w:rPr>
        <w:t xml:space="preserve">постановление</w:t>
      </w:r>
      <w:r>
        <w:rPr>
          <w:rFonts w:ascii="Arial" w:cs="Arial" w:eastAsia="Arial" w:hAnsi="Arial"/>
          <w:sz w:val="24"/>
          <w:szCs w:val="24"/>
        </w:rPr>
        <w:t xml:space="preserve"> от 25 июня 2018 года № 300), который определяет правовые и организационные основы порядка и условий прохождения службы в правоохранительных органах Кыргызской Республики, правовое положение (статус) и гарантии социального обеспечения сотрудников правоохранительных органов и членов их семей, регулирует отношения, связанные с поступлением на службу в правоохранительные органы, ее прохождением и прекращением.</w:t>
      </w:r>
    </w:p>
    <w:p>
      <w:pPr>
        <w:spacing w:after="60"/>
        <w:ind w:firstLine="567"/>
        <w:jc w:val="both"/>
      </w:pPr>
      <w:r>
        <w:rPr>
          <w:rFonts w:ascii="Arial" w:cs="Arial" w:eastAsia="Arial" w:hAnsi="Arial"/>
          <w:sz w:val="24"/>
          <w:szCs w:val="24"/>
        </w:rPr>
        <w:t xml:space="preserve">В целом проект Закона предлагаем доработать в соответствии с требованиями </w:t>
      </w:r>
      <w:hyperlink w:history="1" r:id="rIdcavv2dvgdrctotqqlls2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и </w:t>
      </w:r>
      <w:hyperlink w:history="1" r:id="rId3yvibunp79grqipcvs-kp">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законодательной технике, утвержденной </w:t>
      </w:r>
      <w:hyperlink w:history="1" r:id="rIdlgzhllq8j2_tftq2x654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5389-V.</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maimua7trq0avd9n9pfy">
      <w:r>
        <w:rPr>
          <w:rFonts w:ascii="Arial" w:cs="Arial" w:eastAsia="Arial" w:hAnsi="Arial"/>
          <w:color w:val="132D3F"/>
          <w:sz w:val="16"/>
          <w:szCs w:val="16"/>
          <w:u w:val="single"/>
        </w:rPr>
        <w:t xml:space="preserve">dalil.kg/document/12724</w:t>
      </w:r>
    </w:hyperlink>
  </w:p>
  <w:p>
    <w:pPr>
      <w:spacing w:after="0" w:before="40"/>
      <w:jc w:val="center"/>
    </w:pPr>
    <w:hyperlink w:history="1" r:id="rIdy-ncgy6mmtcke3tj2apk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al0pxqot1goehyxtoo2k" Type="http://schemas.openxmlformats.org/officeDocument/2006/relationships/hyperlink" Target="https://dalil.kg/document/203685" TargetMode="External"/><Relationship Id="rIdhecmp0mvr4_q82ipzse00" Type="http://schemas.openxmlformats.org/officeDocument/2006/relationships/hyperlink" Target="https://dalil.kg/document/12724#p1" TargetMode="External"/><Relationship Id="rIdbf_m5dfizo7l0kr1uy9rc" Type="http://schemas.openxmlformats.org/officeDocument/2006/relationships/hyperlink" Target="https://dalil.kg/document/8" TargetMode="External"/><Relationship Id="rIdtcmdpypbhie3mzclctkcf" Type="http://schemas.openxmlformats.org/officeDocument/2006/relationships/hyperlink" Target="https://dalil.kg/document/311" TargetMode="External"/><Relationship Id="rIdhzqaystcgt83wailpa-2e" Type="http://schemas.openxmlformats.org/officeDocument/2006/relationships/hyperlink" Target="https://dalil.kg/document/203101" TargetMode="External"/><Relationship Id="rId6zekpmxknpdxcn4gi8pha" Type="http://schemas.openxmlformats.org/officeDocument/2006/relationships/hyperlink" Target="https://dalil.kg/document/203103" TargetMode="External"/><Relationship Id="rIdeygskrsqep25hrsp1azbc" Type="http://schemas.openxmlformats.org/officeDocument/2006/relationships/hyperlink" Target="https://dalil.kg/document/203102" TargetMode="External"/><Relationship Id="rIdo6dg2e1j4ajpj_nhpvwzv" Type="http://schemas.openxmlformats.org/officeDocument/2006/relationships/hyperlink" Target="https://dalil.kg/document/111354" TargetMode="External"/><Relationship Id="rIdqsjjms3pcqfsc2cskcivb" Type="http://schemas.openxmlformats.org/officeDocument/2006/relationships/hyperlink" Target="https://dalil.kg/document/12724" TargetMode="External"/><Relationship Id="rIdkpmwkvdp4mbdmeypzz1hs" Type="http://schemas.openxmlformats.org/officeDocument/2006/relationships/hyperlink" Target="https://dalil.kg/document/203685" TargetMode="External"/><Relationship Id="rId3mxfydr2qqelue8vqtsw0" Type="http://schemas.openxmlformats.org/officeDocument/2006/relationships/hyperlink" Target="https://dalil.kg/document/8" TargetMode="External"/><Relationship Id="rId06kblmsjhmfum6i99sgy_" Type="http://schemas.openxmlformats.org/officeDocument/2006/relationships/hyperlink" Target="https://dalil.kg/document/311" TargetMode="External"/><Relationship Id="rIdbknsan1pg880nurqglf0k" Type="http://schemas.openxmlformats.org/officeDocument/2006/relationships/hyperlink" Target="https://dalil.kg/document/203101" TargetMode="External"/><Relationship Id="rIdt3wxbweadvcow_sgekp3p" Type="http://schemas.openxmlformats.org/officeDocument/2006/relationships/hyperlink" Target="https://dalil.kg/document/203103" TargetMode="External"/><Relationship Id="rIdlvhee1rfvgijjjskdsrec" Type="http://schemas.openxmlformats.org/officeDocument/2006/relationships/hyperlink" Target="https://dalil.kg/document/203102" TargetMode="External"/><Relationship Id="rIdczu2ywh_zh4gjnbflrcuo" Type="http://schemas.openxmlformats.org/officeDocument/2006/relationships/hyperlink" Target="https://dalil.kg/document/111354" TargetMode="External"/><Relationship Id="rIdllexgor-c4sx9qs4_ysbv" Type="http://schemas.openxmlformats.org/officeDocument/2006/relationships/hyperlink" Target="https://dalil.kg/document/8" TargetMode="External"/><Relationship Id="rIdsr6lgtx9cugamlurl2prd" Type="http://schemas.openxmlformats.org/officeDocument/2006/relationships/hyperlink" Target="https://dalil.kg/document/10" TargetMode="External"/><Relationship Id="rIdsxlq4mb6oiucktvvg0b8a" Type="http://schemas.openxmlformats.org/officeDocument/2006/relationships/hyperlink" Target="https://dalil.kg/document/8" TargetMode="External"/><Relationship Id="rIdeewyhkcx3fkxpzz8ckhud" Type="http://schemas.openxmlformats.org/officeDocument/2006/relationships/hyperlink" Target="https://dalil.kg/document/8" TargetMode="External"/><Relationship Id="rIdamdbygktephecfffnrzct" Type="http://schemas.openxmlformats.org/officeDocument/2006/relationships/hyperlink" Target="https://dalil.kg/document/203101" TargetMode="External"/><Relationship Id="rIdgyuw9wjjitv55dsceo7oq" Type="http://schemas.openxmlformats.org/officeDocument/2006/relationships/hyperlink" Target="https://dalil.kg/document/203101" TargetMode="External"/><Relationship Id="rIde1hiodgjhohblu0t0iqbk" Type="http://schemas.openxmlformats.org/officeDocument/2006/relationships/hyperlink" Target="https://dalil.kg/document/203685" TargetMode="External"/><Relationship Id="rId77nschygowymlet57jdim" Type="http://schemas.openxmlformats.org/officeDocument/2006/relationships/hyperlink" Target="https://dalil.kg/document/111732" TargetMode="External"/><Relationship Id="rIdmq_gpdelqwn_9cozkjelc" Type="http://schemas.openxmlformats.org/officeDocument/2006/relationships/hyperlink" Target="https://dalil.kg/document/102" TargetMode="External"/><Relationship Id="rIdx6regdprxfqhfqywhsrpp" Type="http://schemas.openxmlformats.org/officeDocument/2006/relationships/hyperlink" Target="https://dalil.kg/document/205436" TargetMode="External"/><Relationship Id="rIdw94hgobmefmdk6gsrw1nu" Type="http://schemas.openxmlformats.org/officeDocument/2006/relationships/hyperlink" Target="https://dalil.kg/document/202445" TargetMode="External"/><Relationship Id="rIdpcxtzrjxgb4ttqxkzeszi" Type="http://schemas.openxmlformats.org/officeDocument/2006/relationships/hyperlink" Target="https://dalil.kg/document/202913" TargetMode="External"/><Relationship Id="rIdyhymmdh7tjwwrezdojyuk" Type="http://schemas.openxmlformats.org/officeDocument/2006/relationships/hyperlink" Target="https://dalil.kg/document/202913" TargetMode="External"/><Relationship Id="rId9oho8vp-eljoxytj953sw" Type="http://schemas.openxmlformats.org/officeDocument/2006/relationships/hyperlink" Target="https://dalil.kg/document/1216" TargetMode="External"/><Relationship Id="rIdquo_pc750cvjmbhs2k9g5" Type="http://schemas.openxmlformats.org/officeDocument/2006/relationships/hyperlink" Target="https://dalil.kg/document/203102" TargetMode="External"/><Relationship Id="rIdawyakigqw3zcjmifehnlx" Type="http://schemas.openxmlformats.org/officeDocument/2006/relationships/hyperlink" Target="https://dalil.kg/document/203102" TargetMode="External"/><Relationship Id="rIdqhf3nyplvple8dclb35sl" Type="http://schemas.openxmlformats.org/officeDocument/2006/relationships/hyperlink" Target="https://dalil.kg/document/111311" TargetMode="External"/><Relationship Id="rIddlukoeng7oasksnbtmnc8" Type="http://schemas.openxmlformats.org/officeDocument/2006/relationships/hyperlink" Target="https://dalil.kg/document/203101" TargetMode="External"/><Relationship Id="rIdgdtwmwbvd-atezqlvolio" Type="http://schemas.openxmlformats.org/officeDocument/2006/relationships/hyperlink" Target="https://dalil.kg/document/203685" TargetMode="External"/><Relationship Id="rIdajcm-74pdh9ly4r5hqk5h" Type="http://schemas.openxmlformats.org/officeDocument/2006/relationships/hyperlink" Target="https://dalil.kg/document/111338" TargetMode="External"/><Relationship Id="rId5y3fzjmtqmdlhq0hsqorb" Type="http://schemas.openxmlformats.org/officeDocument/2006/relationships/hyperlink" Target="https://dalil.kg/document/203102" TargetMode="External"/><Relationship Id="rIdeg3vjh0uf64sn81vtcyya" Type="http://schemas.openxmlformats.org/officeDocument/2006/relationships/hyperlink" Target="https://dalil.kg/document/205396" TargetMode="External"/><Relationship Id="rIdcy3odd4emsrsm0mnqbt1_" Type="http://schemas.openxmlformats.org/officeDocument/2006/relationships/hyperlink" Target="https://dalil.kg/document/686" TargetMode="External"/><Relationship Id="rIdcavv2dvgdrctotqqlls2e" Type="http://schemas.openxmlformats.org/officeDocument/2006/relationships/hyperlink" Target="https://dalil.kg/document/202591" TargetMode="External"/><Relationship Id="rId3yvibunp79grqipcvs-kp" Type="http://schemas.openxmlformats.org/officeDocument/2006/relationships/hyperlink" Target="https://dalil.kg/document/76491" TargetMode="External"/><Relationship Id="rIdlgzhllq8j2_tftq2x654k" Type="http://schemas.openxmlformats.org/officeDocument/2006/relationships/hyperlink" Target="https://dalil.kg/document/76490" TargetMode="External"/><Relationship Id="rId8" Type="http://schemas.openxmlformats.org/officeDocument/2006/relationships/image" Target="media/8de64316e95979c063c17bcd5380dc052a2594e9.png"/><Relationship Id="rId5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maimua7trq0avd9n9pfy" Type="http://schemas.openxmlformats.org/officeDocument/2006/relationships/hyperlink" Target="https://dalil.kg/document/12724" TargetMode="External"/><Relationship Id="rIdy-ncgy6mmtcke3tj2apk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2026-10-04T20:16:27.581Z</dcterms:created>
  <dcterms:modified xsi:type="dcterms:W3CDTF">2026-10-04T20:16:27.581Z</dcterms:modified>
</cp:coreProperties>
</file>

<file path=docProps/custom.xml><?xml version="1.0" encoding="utf-8"?>
<Properties xmlns="http://schemas.openxmlformats.org/officeDocument/2006/custom-properties" xmlns:vt="http://schemas.openxmlformats.org/officeDocument/2006/docPropsVTypes"/>
</file>