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qtdkxsyutqlwxe_vcv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внедрению нормативного финансирования в государственных образовательных организациях начального профессионального образования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по финансированию государственных образовательных организаций начального профессионального образования, обеспечения эффективности использования государственных финансовых ресурсов,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jdqwklb2glteu088wa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cb_htvlrauy_zml86k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knt1--pglof7lgv4vk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типовых нормативов бюджетного финансирования государственных профессиональных лицеев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rvhrjyhtxz6fwtbeg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финансирования государственных профессиональных лицеев Кыргызской Республики в расчете на одного учащегося на 2018 год (далее - Типовые нормативы)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58vqez3_2jprjicv46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расходов государственных профессиональных лицеев Кыргызской Республики в условиях нормативного финансирования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on6txuqqvulcqphuy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профессиональных лицеев Кыргызской Республики, на которые не распространяется механизм нормативного финансирования,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государственных профессиональных лицеев, за исключением государственных профессиональных лицеев, указанных в </w:t>
      </w:r>
      <w:hyperlink w:history="1" r:id="rIdsv_sz1xtrutvv4iq5m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определяются согласно Типовым нормативам, утвержденным пунктом 1 настоящего постановления, численности учащихся, и утверждаются одной суммой, без распределения по статьям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профессиональные лицеи в условиях нормативного финансирования могут создавать стимулирующий фонд заработной платы в пределах утвержденного бюджета, рассчитанного согласно численности учащихся и </w:t>
      </w:r>
      <w:hyperlink w:history="1" r:id="rIdohsb0gd1rzcxrr6s_v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 При этом, средства стимулирующего фонда заработной платы направляются на материальное стимулирование персонала государственных профессиональных лицеев за результаты и качество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штатной численности работников государственных профессиональных лицеев в условиях нормативного финансирования производится в пределах утвержденного бюджета, рассчитанного согласно численности учащихся и </w:t>
      </w:r>
      <w:hyperlink w:history="1" r:id="rIdnfqzezslzonskcfoyfm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покрытия расходов, связанных с оплатой коммунальных услуг государственных профессиональных лицеев № 20, 91, 94 города Бишкек, применяется повышающий коэффициент 2,5, учитывающий повышенные тарифы на тепловую энергию для бюджетных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03tfntrvk9wppwweu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пунктом 1 настоящего постановления, пересматриваются при изменении условий финансирования государственных профессиональных лицеев, рассчитываются Агентством начального профессионального образования при Министерстве образования и науки Кыргызской Республики совместно с Министерством финансов Кыргызской Республики и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приступить к внедрению нормативного финансирования в государственных профессиональных лицеях Кыргызской Республики с 1 ноября 2018 года в соответствии с </w:t>
      </w:r>
      <w:hyperlink w:history="1" r:id="rIdmtgjmkvzrbg14pmkt_j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утвержденными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руководителей и работников государственных профессиональных лицеев по вопросам внедрения нормативного финансирования в государственных профессиональных лицеях;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2018 года подготовить информационно-статистическую базу контингента учащихся по профессиям, срокам обучения и группам подготовки рабочих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разъяснительную работу среди населения о нормативном финансировании государственных профессиональных лицеев;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руководителям государственных профессиональных лицеев, переведенных на нормативное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штатное расписание, исходя из производственной необходимости, и вводить в штатное расписание вместо одних должностей, предусмотренных типовыми штатами, другие необходимые должности в пределах общего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покрытие расходов, связанных с приобретением учебных материалов, и стимулирование труда работников государственных профессиональных лицеев средства, сэкономленные или высвобождаемые в результате оптимизации организационной структуры и штатов.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декабря 2018 года N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НОРМАТИВЫ
 бюджетного финансирования государственных профессиональных лицеев Кыргызской Республики в расчете на одного учащегося на 2018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5109"/>
        <w:gridCol w:w="770"/>
        <w:gridCol w:w="770"/>
        <w:gridCol w:w="770"/>
        <w:gridCol w:w="770"/>
        <w:gridCol w:w="770"/>
        <w:gridCol w:w="770"/>
      </w:tblGrid>
      <w:tr>
        <w:tc>
          <w:tcPr>
            <w:tcW w:type="dxa" w:w="4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 и статей экономической классификации</w:t>
            </w:r>
          </w:p>
        </w:tc>
        <w:tc>
          <w:tcPr>
            <w:tcW w:type="dxa" w:w="462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15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23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Нормативы бюджетного финансирования для учебных групп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Для государственных профессиональных лицеев, расположенных в городской местности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Нормативы бюджетного финансирования на 1 учащегося по профессиям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28834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35911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31260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38171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34892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38266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37727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31487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28448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37656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36562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38091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34559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28313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37655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29448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39782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38974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38028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32021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29798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37472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35241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33463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42756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42464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39679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30417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29977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30315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35713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труда, включая отчисления в Социальный фонд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23631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18887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20899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21827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24087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25561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24436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20685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24743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24539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стипендии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коммунальных услуг по видам отопления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расходные материалы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Для государственных профессиональных лицеев, расположенных в сельской местности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Нормативы бюджетного финансирования на 1 учащегося по профессиям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43642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42794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34112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45864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40810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37407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37615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33463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43838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40523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46817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40360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45213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44659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40578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35568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47672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42486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34329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46528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45079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34136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41679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39920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36102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35401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40241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34817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48137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42365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труда, включая отчисления в Социальный фонд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31992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25335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30861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30155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29990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30915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31364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30810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26729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24724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27362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26146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31669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33823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31427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31831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32415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стипендий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коммунальных услуг по видам отопления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расходные материалы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Нормативы бюджетного финансирования для реабилитационных групп и детей-сирот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Для государственных профессиональных лицеев, расположенных в городской местности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Нормативы бюджетного финансирования на 1 учащегося по профессиям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109015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115279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115279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112902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115972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116020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110477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109523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117031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117031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114654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107775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118239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118239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115862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107321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109164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118753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118753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116376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118805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118805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116428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109766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110179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114872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112280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119572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109287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109475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108373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119041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119041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116664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53632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63059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63059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57682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стипендий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Выходное пособие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коммунальных услуг по видам отопления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расходные материалы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Для государственных профессиональных лицеев, расположенных в сельской местности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Нормативы бюджетного финансирования на 1 учащегося по профессиям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128139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121529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131209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123236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135798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135798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131257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122762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123128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125838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134432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134432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129891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131099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134879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134879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130338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131613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131665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120991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123701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130109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121572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124035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136442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136442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63790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67237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стипендий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Выходное пособие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коммунальные услуги по видам отопления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расходные материалы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определении потребность в учебных расходных материалах по профессии "Сельское хозяйство и перерабатывающая промышленность", по специа</w:t>
      </w:r>
      <w:r>
        <w:rPr>
          <w:rFonts w:ascii="Arial" w:cs="Arial" w:eastAsia="Arial" w:hAnsi="Arial"/>
          <w:sz w:val="24"/>
          <w:szCs w:val="24"/>
        </w:rPr>
        <w:t xml:space="preserve">льности "Цветовод-декоратор" корректируется на повышающий коэффициент 2,0.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профессиональных лицеев Кыргызской Республики, на которые не распространяется механизм нормативного финансирования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5553"/>
        <w:gridCol w:w="4026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лицей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район, с.Чаек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район, с.Ат-Баши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район, с.Кара-Тоо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район, с.Ленина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Токтогул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район, с.Каныш-Кыя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район, с.Кербен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69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89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район, с.Кызыл-Жар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109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район, с.Кыргыз-Ата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район, с.Алтымыш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fmakj0psdzgcf29xm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dalil.kg/document/12744</w:t>
      </w:r>
    </w:hyperlink>
  </w:p>
  <w:p>
    <w:pPr>
      <w:spacing w:after="0" w:before="40"/>
      <w:jc w:val="center"/>
    </w:pPr>
    <w:hyperlink w:history="1" r:id="rIdfzhj1jtjyyf58qgrtj-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tdkxsyutqlwxe_vcviy" Type="http://schemas.openxmlformats.org/officeDocument/2006/relationships/hyperlink" Target="https://dalil.kg/document/230006351" TargetMode="External"/><Relationship Id="rIdajdqwklb2glteu088wa6x" Type="http://schemas.openxmlformats.org/officeDocument/2006/relationships/hyperlink" Target="https://dalil.kg/document/1216" TargetMode="External"/><Relationship Id="rId_cb_htvlrauy_zml86kc4" Type="http://schemas.openxmlformats.org/officeDocument/2006/relationships/hyperlink" Target="https://dalil.kg/document/203685" TargetMode="External"/><Relationship Id="rIdqknt1--pglof7lgv4vkds" Type="http://schemas.openxmlformats.org/officeDocument/2006/relationships/hyperlink" Target="https://dalil.kg/document/12745" TargetMode="External"/><Relationship Id="rIdlgrvhrjyhtxz6fwtbeg-c" Type="http://schemas.openxmlformats.org/officeDocument/2006/relationships/hyperlink" Target="https://dalil.kg/document/12744#p2" TargetMode="External"/><Relationship Id="rIdj58vqez3_2jprjicv46o3" Type="http://schemas.openxmlformats.org/officeDocument/2006/relationships/hyperlink" Target="https://dalil.kg/document/12746" TargetMode="External"/><Relationship Id="rIdvon6txuqqvulcqphuytak" Type="http://schemas.openxmlformats.org/officeDocument/2006/relationships/hyperlink" Target="https://dalil.kg/document/12744#p4" TargetMode="External"/><Relationship Id="rIdsv_sz1xtrutvv4iq5mjrd" Type="http://schemas.openxmlformats.org/officeDocument/2006/relationships/hyperlink" Target="https://dalil.kg/document/12744#p4" TargetMode="External"/><Relationship Id="rIdohsb0gd1rzcxrr6s_vesh" Type="http://schemas.openxmlformats.org/officeDocument/2006/relationships/hyperlink" Target="https://dalil.kg/document/12744#p2" TargetMode="External"/><Relationship Id="rIdnfqzezslzonskcfoyfm2z" Type="http://schemas.openxmlformats.org/officeDocument/2006/relationships/hyperlink" Target="https://dalil.kg/document/12744#p2" TargetMode="External"/><Relationship Id="rIdh03tfntrvk9wppwweuqcr" Type="http://schemas.openxmlformats.org/officeDocument/2006/relationships/hyperlink" Target="https://dalil.kg/document/12744#p2" TargetMode="External"/><Relationship Id="rIdmtgjmkvzrbg14pmkt_ja_" Type="http://schemas.openxmlformats.org/officeDocument/2006/relationships/hyperlink" Target="https://dalil.kg/document/12744#p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fmakj0psdzgcf29xm2j" Type="http://schemas.openxmlformats.org/officeDocument/2006/relationships/hyperlink" Target="https://dalil.kg/document/12744" TargetMode="External"/><Relationship Id="rIdfzhj1jtjyyf58qgrtj-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2026-09-24T03:39:24.021Z</dcterms:created>
  <dcterms:modified xsi:type="dcterms:W3CDTF">2026-09-24T03:39:24.021Z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