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Чуйского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1odsm7hviz-avpnw2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КР,  а также Законами КР “</w:t>
      </w:r>
      <w:hyperlink w:history="1" r:id="rIdus1cvndba_48fgqgvk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“О выборах депутатах местных Кенешей”, “</w:t>
      </w:r>
      <w:hyperlink w:history="1" r:id="rIdlmfqiawo1rkoypmumit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cjpl32qbud1s-803l4m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нормативно – правовых актах КР</w:t>
        </w:r>
      </w:hyperlink>
      <w:r>
        <w:rPr>
          <w:rFonts w:ascii="Arial" w:cs="Arial" w:eastAsia="Arial" w:hAnsi="Arial"/>
          <w:sz w:val="24"/>
          <w:szCs w:val="24"/>
        </w:rPr>
        <w:t xml:space="preserve">”  и других нормативно – правовых актах КР, регулирующих деятельность местных Кенешей, организации делопроизводства, несение муниципальной службы,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 Регламент Чуйского айылного кенеша согласно приложения 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Старейший депутат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Асекова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gyohhwhwgu-ulsk9l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dalil.kg/document/130550</w:t>
      </w:r>
    </w:hyperlink>
  </w:p>
  <w:p>
    <w:pPr>
      <w:spacing w:after="0" w:before="40"/>
      <w:jc w:val="center"/>
    </w:pPr>
    <w:hyperlink w:history="1" r:id="rIdwmsqs_zevsw-a_7splr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odsm7hviz-avpnw2zkx" Type="http://schemas.openxmlformats.org/officeDocument/2006/relationships/hyperlink" Target="https://dalil.kg/document/112213" TargetMode="External"/><Relationship Id="rIdus1cvndba_48fgqgvkrlt" Type="http://schemas.openxmlformats.org/officeDocument/2006/relationships/hyperlink" Target="https://dalil.kg/document/203102" TargetMode="External"/><Relationship Id="rIdlmfqiawo1rkoypmumit64" Type="http://schemas.openxmlformats.org/officeDocument/2006/relationships/hyperlink" Target="https://dalil.kg/document/311" TargetMode="External"/><Relationship Id="rIdcjpl32qbud1s-803l4m1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gyohhwhwgu-ulsk9lp2" Type="http://schemas.openxmlformats.org/officeDocument/2006/relationships/hyperlink" Target="https://dalil.kg/document/130550" TargetMode="External"/><Relationship Id="rIdwmsqs_zevsw-a_7splr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2026-10-01T07:03:31.817Z</dcterms:created>
  <dcterms:modified xsi:type="dcterms:W3CDTF">2026-10-01T07:03:31.817Z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