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4f_h7xsiti3ot702q2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февраля 2019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бонитета почв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обеспечения достоверности земельно-кадастровых данных, выявления и отображения в планово-картографических материалах произошедших изменений качественного состава почв земельных угодий, регулирования правовых отношений порядка проведения бонитировки почв, а также проведения бонитировки почв по единой технологии, обеспечения сопоставимости получаемых результатов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Задачей бонитировки почв является сравнительная оценка их качества и естественной производительной способности в баллах при среднем уровне агротехники выращивания сельскохозяйственных культур. Бонитировка почв относится к основному виду учета (инвентаризации) качества земель, является основой для последующей стоимостной оценки земель сельскохозяйственного назначения, осуществления землеустройства, стимулирования рационального и эффективного использования земель и выявления резервов производства сельскохозяйственных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Бонитировке почв подлежат все сельскохозяйственные угодья независимо от ведомственной принадлежности земель и права пользования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бонитировке почв технически совмещаются с проведением почвенной съемки, корректировкой или другими кадастровыми обследованиями.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Заказчиками работ по бонитировке почв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уполномоченный государственный орган исполнительной власти, осуществляющий государственную политику в сфере агропромышленного комплекса, включая мелиорацию земель, плодородие почв, земельные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исполнительные органы местного самоуправления, а также отдельные землепользователи (крестьянские (фермерские) хозяйства, обладатели земельной доли).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Генеральным проектировщиком (исполнитель) проведения работ по бонитировке почв является соответствующий институт, проводящий землеустроительные, топографические, картографические, почвенные, агрохимические, геоботанические и другие обследовательские работы, анализ почвы, воды и растительных образцов.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Порядка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агропроизводственная группировка почв</w:t>
      </w:r>
      <w:r>
        <w:rPr>
          <w:rFonts w:ascii="Arial" w:cs="Arial" w:eastAsia="Arial" w:hAnsi="Arial"/>
          <w:sz w:val="24"/>
          <w:szCs w:val="24"/>
        </w:rPr>
        <w:t xml:space="preserve"> - объединение почв, близких по генетическим, агроэкологическим условиям и агрономическим свойствам, в группы, характеризующиеся одинаковой возможностью сельскохозяйственного использования и однотипным характером мероприятий по улучшению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бонитет почв</w:t>
      </w:r>
      <w:r>
        <w:rPr>
          <w:rFonts w:ascii="Arial" w:cs="Arial" w:eastAsia="Arial" w:hAnsi="Arial"/>
          <w:sz w:val="24"/>
          <w:szCs w:val="24"/>
        </w:rPr>
        <w:t xml:space="preserve"> - качественное состояние земель, их продуктивности, добротности, служащее основой для разработки мероприятий по повышению плодородия почв, определению стоимостной оценки (нормативной цены) земельного участка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 почв (оценка почв по их качеству)</w:t>
      </w:r>
      <w:r>
        <w:rPr>
          <w:rFonts w:ascii="Arial" w:cs="Arial" w:eastAsia="Arial" w:hAnsi="Arial"/>
          <w:sz w:val="24"/>
          <w:szCs w:val="24"/>
        </w:rPr>
        <w:t xml:space="preserve"> - установление ценности почв по балльной шкале с учетом содержания в них гумуса, степени деградации и загрязнения вредными веществами, а также набора показателей состава, структуры и свойств почв по природно-климатическим зонам страны, влияющих в совокупности на плодородие почв и качество производимой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бонитировочная шкала</w:t>
      </w:r>
      <w:r>
        <w:rPr>
          <w:rFonts w:ascii="Arial" w:cs="Arial" w:eastAsia="Arial" w:hAnsi="Arial"/>
          <w:sz w:val="24"/>
          <w:szCs w:val="24"/>
        </w:rPr>
        <w:t xml:space="preserve"> - оценочная таблица, отражающая диагностические свойства почв, построенная на основе данных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гидроморфные почвы</w:t>
      </w:r>
      <w:r>
        <w:rPr>
          <w:rFonts w:ascii="Arial" w:cs="Arial" w:eastAsia="Arial" w:hAnsi="Arial"/>
          <w:sz w:val="24"/>
          <w:szCs w:val="24"/>
        </w:rPr>
        <w:t xml:space="preserve"> - группа почв различных типов, формирующихся под влиянием устойчивого избыточного увлажнения;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гумус</w:t>
      </w:r>
      <w:r>
        <w:rPr>
          <w:rFonts w:ascii="Arial" w:cs="Arial" w:eastAsia="Arial" w:hAnsi="Arial"/>
          <w:sz w:val="24"/>
          <w:szCs w:val="24"/>
        </w:rPr>
        <w:t xml:space="preserve"> - один из важнейших показателей плодородия почв, в нем сосредоточены все биогенные элементы, снабжающие растения питанием;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кадастр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свод сведений и документов о природных, хозяйственных характеристиках и правовом режиме земель, их категориях, который в форме кадастровых карт и планов включает в себя графическую информацию о местоположении, размерах, границах земельных участков, текстовое описание состава земельных угодий, количества, качества земель и их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картограмма</w:t>
      </w:r>
      <w:r>
        <w:rPr>
          <w:rFonts w:ascii="Arial" w:cs="Arial" w:eastAsia="Arial" w:hAnsi="Arial"/>
          <w:sz w:val="24"/>
          <w:szCs w:val="24"/>
        </w:rPr>
        <w:t xml:space="preserve"> - информация, которая представляет собой карту, визуально показывающую интенсивность какого-либо показателя в пределах территории на карте: агропроизводственная группировка, бонитировка, засоление, солонцеватость, эродированность и другие специальные обследования и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почвенная карта</w:t>
      </w:r>
      <w:r>
        <w:rPr>
          <w:rFonts w:ascii="Arial" w:cs="Arial" w:eastAsia="Arial" w:hAnsi="Arial"/>
          <w:sz w:val="24"/>
          <w:szCs w:val="24"/>
        </w:rPr>
        <w:t xml:space="preserve"> - карта, на которой показано распространение разновидностей почв в соответствии с принятой классификацией;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продуктивность земель</w:t>
      </w:r>
      <w:r>
        <w:rPr>
          <w:rFonts w:ascii="Arial" w:cs="Arial" w:eastAsia="Arial" w:hAnsi="Arial"/>
          <w:sz w:val="24"/>
          <w:szCs w:val="24"/>
        </w:rPr>
        <w:t xml:space="preserve"> - урожайность сельскохозяйственных культур, пастбищ и сенокосов, выраженная в зерновых единицах.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критерии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сельскохозяйственных угодий проводится (поконтурно в разрезе айылных аймаков, мэрии) на уровне административных районов и отдельных землепользователей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земель строится на показателях бонитировки почв и осуществляется при проведении следующих видов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систематического списка почв по основным диагностическим признакам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свойств почв, коррелирующих с урожайностью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данных по урожайности основных сельскохозяйственных культур (зерновые колосовые, кукуруза на зерно и силос, многолетние травы на сено, хлопчатник, сахарная свекла, табак и др.) во всех районах их возделывания;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корреляционной связи свойств почв и климатических факторов с урожайностью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оценочных шкал (для пахотных орошаемых и богарных почв и почв пастбищных и сенокосных угодий);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поправок на свойства почв, отрицательно влияющие на их плодородие и урожайность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Оценка, характеризующая балл бонитета по свойствам почв, проводится по устойчивым признакам: запасам валового гумуса, общего азота, валовых форм фосфора и калия (т/га) в слое 0-50 см и величине емкости поглощения (мг-экв на 100 г почвы).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климатических факторов, принятых для бонитировки, проводится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тепла за вегетационный период в земледелии;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выпадающих осадков и распределение их по сезонам года (обеспеченность влагой выражается коэффициентом увлажнения);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безморозного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сравнение почвенно-климатических зон и подзон по основным климатическим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сезонной контрастности гидротермических условий на почвообразование и вертикальную поясность почв;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тепла и влаги в вегетационный период, которое определяет биологическую продуктивность сельскохозяйственных культур на фоне свойств почв, определяющих их плодородие;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высота местности над уровнем моря, экспозиция склонов и другие особенности.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средних бонитетов по климатическим факторам и свойствам почв выводится общий средний балл бонитета и составляются бонитировочные шкалы, переведенные в замкнутую 100-балльную шкалу.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Бонитировочная шкала орошаемых пахотных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орошаемых пахотных почв учитываются свойства почв и климатические факторы (количество атмосферных осадков, сумма эффективных температур выше 10ºС, продолжительность безморозного периода) (</w:t>
      </w:r>
      <w:hyperlink w:history="1" r:id="rIdbepv6pvkdu1yp3yrco9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баллов бонитета по климатическим факторам используются многолетние данные гидрометеостанций.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дней безморозного периода и количество выпадающих осадков в год определяют максимальный балл бонитета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свойств почв для построения бонитировочной шкалы принимаются валовые запасы гумуса, азота, фосфора и калия в слое 0,5 м (т/га) и величина емкости поглощения.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Бонитировочная шкала богарных пахотных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оценке богарных пахотных почв учитываются коэффициент увлажнения (отношение количества выпадающих осадков за год к испаряемости), сумма эффективных температур выше 10 ºС, а также свойства почв, определяющие их плодородие (запасы гумуса, азота, фосфора, калия и величина емкости поглощения) (</w:t>
      </w:r>
      <w:hyperlink w:history="1" r:id="rIdtca1fcouyqchxnpxsi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Бонитировочная шкала почв пастбищных и сенокосных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оценке почв пастбищных и сенокосных угодий учитываются коэффициент увлажнения, сумма эффективных температур выше 0; 5 и 10 ºС в зависимости вегетации естественных трав при самых различных температурных условиях (приложения </w:t>
      </w:r>
      <w:hyperlink w:history="1" r:id="rIdzexat-toda2m3bp7c44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j8-n4pp6jbthoginb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коэффициент увлажнения приходится на максимум тепла - выше 0, 5, и 10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увлажнения принимается за 100 баллов.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Поправки на снижение оценки за счет неблагоприятных свойств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оценки по бонитировочной шкале проводится оценка почвы с отклонениями от типичности, учитываются выраженные признаки свойств почв, отрицательно влияющие на их плодородие и продуктивность: механический состав, мощность мелкоземистого слоя, засоление, солонцеватость, эродированность и каменистость, которые снижают урожайность сельскохозяйственных культур и естественных трав. При учете механического состава за оптимальный принимается средний суглинок, отклонение в сторону облегчения или утяжеления механического состава также снижает урожайность сельскохозяйственных культур или естественных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Поправки на снижение балльной оценки почв приводятся для каждого вида земельных угодий в отдельности: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бонитировочной шкале пахотных орошаемых почв (</w:t>
      </w:r>
      <w:hyperlink w:history="1" r:id="rId7h-jcxvty5yibsxiip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бонитировочной шкале пахотных богарных почв (</w:t>
      </w:r>
      <w:hyperlink w:history="1" r:id="rId2nzhu--vka-0ljwljq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бонитировочной шкале пастбищных угодий (</w:t>
      </w:r>
      <w:hyperlink w:history="1" r:id="rIdb6p3fgn7adjycrbelt5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бонитировочной шкале сенокосных угодий (</w:t>
      </w:r>
      <w:hyperlink w:history="1" r:id="rIdhyf-gtwjgc_hwj4jiz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Проведение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Бонитировочная оценка почв проводится по бонитировочным шкалам почв для различных видов угодий (приложения </w:t>
      </w:r>
      <w:hyperlink w:history="1" r:id="rIdqif-x7tzeupbmx0ohg_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-uj4jf-90kjxyopl9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jrqwtmfqebreyiei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kour9gjorv446g9vw7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), с учетом поправок на отрицательные свойства.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бонитировки почв необходимо иметь картографическую основу крупного масштаба, почвенную карту и полный набор картограмм к ней, характеризующих отдельные свойства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Почвенная карта должна характеризовать количественный и качественный состав почвенного покрова землепользования. Картограммы используются для определения снижения оценки почв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результате проведения оценки почв составляется почвенно-бонитировочная карта землепользования. При необходимости балльная оценка почвенного покрова может быть проведена по отдельным участкам и полям (контурам).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одном контуре могут быть несколько почвенных разновидностей, неравных по своему плодородию и по своей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установления площади разновидности, проводится оценка в баллах и, при необходимости, производится снижение оценки на отрицательные свойства. В результате получается оценка 1 га почвенной разновидности.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Помножив оценку разновидности на площадь, получают сумму баллов данной разновидности.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Средневзвешенная балльная оценка 1 га оцениваемого поля (контура), севооборота, массива, участка получается из суммы оценок слагающих разновидностей: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оценка 1 га поля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С1С2С3С4 - площадь его отдельных разновидностей;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К1К2К3К4 - оценки разновидностей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оцениваемого поля (контура).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Оценочные материалы в виде пояснительной записки о почвах айылного аймака или мэрии с информацией о бонитете почв и почвенной картой передаются исполнительному органу местного самоуправления (айыл окмоту, мэрии) для практического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почв района проводится путем обобщения почвенных и бонитировочных карт землепользований.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Результатом бонитировки почвенного покрова района является почвенная карта с показателями бонитета почв. На ней указываются землепользователи (айылные аймаки, мэрии), площадь их орошаемых и богарных пахотных земель, пастбищных и сенокосных угодий, средняя балльная оценка 1 гектара почв, сумма баллов на всю площадь.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Агропроизводственная группировка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Почвенная карта отражает свойства и положение в пространстве почв и представляет собой документ многостороннего и длительного использования. Для удобства пользования почвенные контуры, отражающие в картах разного масштаба типы, подтипы и т.д., объединяются в агропроизводственные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Агропроизводственная группировка почв по совокупности природных факторов почвообразования и ее хозяйственному использованию позволяет объективно размещать сельскохозяйственные культуры, определять агромелиоративные мероприятия для отдельных землепользователей, районов и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агропроизводственной группировки основным принципом является расчленение почвенного покрова на более мелкие таксономические единицы, для определения не только ценности и характера использования, но и для разработки мероприятий по повышению их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орошаемых, богарных пахотных, сенокосных и пастбищных угодий содержание агропроизводственной группировки может быть различным при обязательном сохранении принципов группировки.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почв орошаемого земледелия при агропроизводственной группировке по комплексу мероприятий выделены группы лучших, хороших, средних, ниже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богарного земледелия ограничивается группами хороших,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пастбищных угодьях выделяются группы лучших, хороших,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Лучшие земли - земли с нормальной мощностью (более 1 м мелкозема), с выровненной поверхностью, однородным механическим составом, с отсутствием неблагоприятных признаков (засоление, солонцеватость, эродированность, каменистость). Эта группа почв не нуждается в особых мероприятиях для их улучшения.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Хорошие земли - отличаются от вышеуказанных средней мощностью мелкоземистого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Земли среднего качества - это почвы с нормальной и средней мощностью, характеризующиеся засоленностью, солонцеватостью, эродированностью слабых степеней.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Земли ниже среднего качества - среднемощные и маломощные почвы, эродированные, каменистые, засоленные, солонцеватые средних степеней.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Плохие (малопродуктивные) земли - земли, неблагоприятные в мелиоративном отношении и требующие проведения коренных мероприятий по их улучшению (солонцы, солончаки, сильнозасоленные, сильносолонцеватые, сильнокаменистые, сильноэродированные, размытые почвы).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группы выделяются и для гидроморфных почв, где для лучших земель глубина залегания грунтовых вод равна 3-5 м; дня хороших - 1-3 м; для средних - 1-5 м со слабыми степенями засоления и солонцеватости; для ниже средних - 1-5 м со средними степенями засоления и солонцеватости; к плохим землям относятся заболоченные, болотные, с сильными степенями засоления и солонцеватости, солончаки и солонцы.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Практическое использование материалов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Определение производительной способности отдельных земельных участков, полей или массивов проводится на основе материалов бонитировки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достигается путем сопоставления количества баллов и площади земельных угодий. Эти данные, наряду с оценкой 1 га почв, служат объективным показателем степени использования почвенного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Конечным показателем бонитировки почв является определение цены одного оценочного балла почв по Кыргызской Республике, выраженного для орошаемых пахотных почв в центнерах зерна, сена многолетних трав, кукурузы на силос, технических культур; богарных пахотных почв - в центнерах зерна; почв пастбищных и сенокосных угодий - в центнерах воздушно-сухой массы естественных трав, кормовых единиц (</w:t>
      </w:r>
      <w:hyperlink w:history="1" r:id="rId7uelpdeufeaopm5lfk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итоге, для сопоставимости получаемых результатов, вся сельскохозяйственная продукция растениеводства пересчитывается в зерновые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Производительная способность определяется на основе почвенных кадастровых материалов по всем видам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почвенного контура определяется площадь, от перемножения которой на балльную оценку получается сумма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баллов, умноженная на цену балла, дает производительность, подсчитывается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Производительная способность почв каждого вида сельскохозяйственных угодий определяется суммированием производительности почвенных индексов.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перспективного балла бонитета мелиоративно-неблагополучных почв необходимо определить мероприятия по их улучшению, для чего, наряду с почвенными кадастровыми материалами используются данные проектных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документы позволяют определить объем, порядок проведения мелиоративных работ, затраты на их осуществление, а также возможность составить трансформацию почв по качеству, определять их перспективный балл бонитета и производительную 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почв является основой для проведения экономической оценки земель при ведении земельного кадастра.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Бонитировочная шкала орошаемых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592"/>
        <w:gridCol w:w="436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529"/>
        <w:gridCol w:w="566"/>
      </w:tblGrid>
      <w:tr>
        <w:tc>
          <w:tcPr>
            <w:tcW w:type="dxa" w:w="6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Тепловой пояс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380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республике по 100 - 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факторам</w:t>
            </w:r>
          </w:p>
        </w:tc>
        <w:tc>
          <w:tcPr>
            <w:tcW w:type="dxa" w:w="41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атмосферных осадков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безморозный период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чество,
 мм в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темпе-
 ратур выше 10 ºС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дней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жаркий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умеренно-жаркий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и сероземно-луговые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700-950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сазовые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сазовые темные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1620-1800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1620-1800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 (морской)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28,0*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1400-2500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умеренно-прохладный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Бонитировочная шкала богарных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5"/>
        <w:gridCol w:w="621"/>
        <w:gridCol w:w="485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578"/>
        <w:gridCol w:w="546"/>
      </w:tblGrid>
      <w:tr>
        <w:tc>
          <w:tcPr>
            <w:tcW w:type="dxa" w:w="7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Тепловой пояс</w:t>
            </w:r>
          </w:p>
        </w:tc>
        <w:tc>
          <w:tcPr>
            <w:tcW w:type="dxa" w:w="4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232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клима-
 тическим факторам</w:t>
            </w:r>
          </w:p>
        </w:tc>
        <w:tc>
          <w:tcPr>
            <w:tcW w:type="dxa" w:w="45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темпе-
 ратур выше 10ºС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 на 100 г почвы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умеренно-жаркий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700-950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 (морской)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1700-2200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умеренно-прохладный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бонитировки почв пастбищных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442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527"/>
        <w:gridCol w:w="497"/>
      </w:tblGrid>
      <w:tr>
        <w:tc>
          <w:tcPr>
            <w:tcW w:type="dxa" w:w="80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92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факторам</w:t>
            </w:r>
          </w:p>
        </w:tc>
        <w:tc>
          <w:tcPr>
            <w:tcW w:type="dxa" w:w="396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6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7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7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Горно-равнинные почвы высоких межгорных впадин (2800-3200 м)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Каштановые типчаковых степей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Высокогорно-равнинные почвы сыртовых нагорий (3000-4000)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Такыровидные пустынные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пустынно-степные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Каштанове 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Почвы горных склонов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светлые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темные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1300-1600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серо-бурые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1900-2800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коричневато-каштановые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2500-2700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лугово-степные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черноземовидные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лугово-степные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дерново-скелетные под беломятликом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дерновые под овсецом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3500-3700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полуторфянистые кобрезиевых пустошей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2600-4000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тундровидные торфянистые полигональные под дидроцветом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3700-4000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бонитировки почв сенокосных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448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533"/>
        <w:gridCol w:w="505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80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фак-
 торам(*)</w:t>
            </w:r>
          </w:p>
        </w:tc>
        <w:tc>
          <w:tcPr>
            <w:tcW w:type="dxa" w:w="40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0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8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8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оС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ºС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ºС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светлые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темные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1300-1600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1900-2800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2500-2700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орошаемых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72"/>
        <w:gridCol w:w="352"/>
        <w:gridCol w:w="352"/>
        <w:gridCol w:w="352"/>
        <w:gridCol w:w="352"/>
        <w:gridCol w:w="35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52"/>
        <w:gridCol w:w="252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республи-
 каннской 100-балльной шкале</w:t>
            </w:r>
          </w:p>
        </w:tc>
        <w:tc>
          <w:tcPr>
            <w:tcW w:type="dxa" w:w="1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34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степень засоления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  <w:tc>
          <w:tcPr>
            <w:tcW w:type="dxa" w:w="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залегания галечника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супес-
 чаные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пес-
 чаные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содовый и смешанно-содовый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сульфатный и хлоридно-сульфатный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 и хлоридный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50-30 см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менее 30 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 и луговые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темные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 балл бонитета луговых почв следует установить по баллу зональных почв, с использованием коэффициента 1,07, для лугово-болотных и болотно-луговых - 1,15. Поправки на снижение оценки в баллах многолетних насаждений проводятся по оценке баллов орошаемых пахотных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богарных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76"/>
        <w:gridCol w:w="352"/>
        <w:gridCol w:w="352"/>
        <w:gridCol w:w="352"/>
        <w:gridCol w:w="352"/>
        <w:gridCol w:w="35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51"/>
        <w:gridCol w:w="251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республи-
 канской 100-балльной шкале</w:t>
            </w:r>
          </w:p>
        </w:tc>
        <w:tc>
          <w:tcPr>
            <w:tcW w:type="dxa" w:w="1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34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степень засоления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  <w:tc>
          <w:tcPr>
            <w:tcW w:type="dxa" w:w="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залегания галечника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тяжело-сугли-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супес-
 чаные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пес-
 чаные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содовый и смешанно-содовый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сульфатный и хлоридно-сульфатный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 и хлоридный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50-30 см</w:t>
            </w:r>
          </w:p>
        </w:tc>
        <w:tc>
          <w:tcPr>
            <w:tcW w:type="dxa" w:w="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менее 30 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 балл бонитета богарных полугидроморфных почв следует установить по окончательному баллу путем применения повышающего коэффициента 1,05 к нормативам, рассчитанным для зональных почв; для гидроморфных почв 1,07.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почв пастбищных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1"/>
        <w:gridCol w:w="515"/>
        <w:gridCol w:w="622"/>
        <w:gridCol w:w="622"/>
        <w:gridCol w:w="622"/>
        <w:gridCol w:w="498"/>
        <w:gridCol w:w="498"/>
        <w:gridCol w:w="498"/>
      </w:tblGrid>
      <w:tr>
        <w:tc>
          <w:tcPr>
            <w:tcW w:type="dxa" w:w="63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республиканской 100-балльной шкале</w:t>
            </w:r>
          </w:p>
        </w:tc>
        <w:tc>
          <w:tcPr>
            <w:tcW w:type="dxa" w:w="18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4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Каштановые типчаковых степей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Такыровидные пустынные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пустынно-степные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Каштаново степные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светло-коричневые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темно-коричневые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серо-бурые пустынные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коричневато-каштановые под типчаком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и лугово-степные черноземовидные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дерновые слаборазвитые скелетные под беломятликом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дерновые овсецовых пустошей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луговые дерново-полуторфянистые кобрезиевых пустошей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тундровидные полигональные под дидроцветом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почвы, требующие проведения коренных мероприятий по их улучшению, имеющие маломощный и бесструктурный (песчаный механический состав) почвенный слой, заболоченные, размытые почвы, - балл бонитета следует установить от 15 до 20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засоленных и солонцеватых почв следует установить с поправкой на снижение окончательного балла бонитета при слабой степени - на 15%; средней степени - на 45%; сильной степени - на 60%; солонцов и солончаков -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балл бонитета горно-равнинных почв следует установить по окончательному баллу горных почв с уменьшением его на 10-15%;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поправки на снижение оценки в баллах пастбищ закустаренных и кустарников следует проводить по оценке в баллах почв пастбищных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почв сенокосных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79"/>
        <w:gridCol w:w="1287"/>
        <w:gridCol w:w="884"/>
        <w:gridCol w:w="884"/>
        <w:gridCol w:w="782"/>
        <w:gridCol w:w="782"/>
        <w:gridCol w:w="782"/>
      </w:tblGrid>
      <w:tr>
        <w:tc>
          <w:tcPr>
            <w:tcW w:type="dxa" w:w="4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республиканской 100-балльной шкале</w:t>
            </w:r>
          </w:p>
        </w:tc>
        <w:tc>
          <w:tcPr>
            <w:tcW w:type="dxa" w:w="17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23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светло-коричневые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темно-коричневые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субальпийские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почвы, требующие проведения коренных мероприятий по их улучшению, имеющие маломощный и бесструктурный (песчаный механический состав) почвенный слой, размытые почвы - балл бонитета следует установить от 15 до 20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засоленных и солонцеватых почв следует установить с поправкой на снижение окончательного балла бонитета при слабой степени - на 15%; средней степени - на 45%; сильной степени - на 60%; солонцов и солончаков -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балл бонитета горно-равнинных почв следует установить по окончательному баллу горных почв, с уменьшением его на 10-15%.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Цена одного балла бонитета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8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>
        <w:tc>
          <w:tcPr>
            <w:tcW w:type="dxa" w:w="1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0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одного балла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пахотные орошаемые почвы</w:t>
            </w:r>
          </w:p>
        </w:tc>
        <w:tc>
          <w:tcPr>
            <w:tcW w:type="dxa" w:w="1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естественных кормовых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зерно (без кукурузы)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кукуруза на силос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сахарной свеклы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хлопок-сырец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табак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карто-
 фель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много-
 летние травы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многолетних трав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одного балла почв,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(0,06)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перевода в зерновые единицы,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одного балла в зерновых единицах,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(0,05)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yxpfegzwwqlcjqsl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dalil.kg/document/13313</w:t>
      </w:r>
    </w:hyperlink>
  </w:p>
  <w:p>
    <w:pPr>
      <w:spacing w:after="0" w:before="40"/>
      <w:jc w:val="center"/>
    </w:pPr>
    <w:hyperlink w:history="1" r:id="rIdinfgnh6xtful6vsqkt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f_h7xsiti3ot702q2ob" Type="http://schemas.openxmlformats.org/officeDocument/2006/relationships/hyperlink" Target="https://dalil.kg/document/13312" TargetMode="External"/><Relationship Id="rIdbepv6pvkdu1yp3yrco95x" Type="http://schemas.openxmlformats.org/officeDocument/2006/relationships/hyperlink" Target="https://dalil.kg/document/13313#p1" TargetMode="External"/><Relationship Id="rIdtca1fcouyqchxnpxsi7x5" Type="http://schemas.openxmlformats.org/officeDocument/2006/relationships/hyperlink" Target="https://dalil.kg/document/13313#p2" TargetMode="External"/><Relationship Id="rIdzexat-toda2m3bp7c44bb" Type="http://schemas.openxmlformats.org/officeDocument/2006/relationships/hyperlink" Target="https://dalil.kg/document/13313#p3" TargetMode="External"/><Relationship Id="rId9j8-n4pp6jbthoginblbd" Type="http://schemas.openxmlformats.org/officeDocument/2006/relationships/hyperlink" Target="https://dalil.kg/document/13313#p4" TargetMode="External"/><Relationship Id="rId7h-jcxvty5yibsxiipobl" Type="http://schemas.openxmlformats.org/officeDocument/2006/relationships/hyperlink" Target="https://dalil.kg/document/13313#p5" TargetMode="External"/><Relationship Id="rId2nzhu--vka-0ljwljqy9h" Type="http://schemas.openxmlformats.org/officeDocument/2006/relationships/hyperlink" Target="https://dalil.kg/document/13313#p6" TargetMode="External"/><Relationship Id="rIdb6p3fgn7adjycrbelt5aa" Type="http://schemas.openxmlformats.org/officeDocument/2006/relationships/hyperlink" Target="https://dalil.kg/document/13313#p7" TargetMode="External"/><Relationship Id="rIdhyf-gtwjgc_hwj4jizvsl" Type="http://schemas.openxmlformats.org/officeDocument/2006/relationships/hyperlink" Target="https://dalil.kg/document/13313#p8" TargetMode="External"/><Relationship Id="rIdqif-x7tzeupbmx0ohg_zn" Type="http://schemas.openxmlformats.org/officeDocument/2006/relationships/hyperlink" Target="https://dalil.kg/document/13313#p5" TargetMode="External"/><Relationship Id="rIdx4-uj4jf-90kjxyopl9ro" Type="http://schemas.openxmlformats.org/officeDocument/2006/relationships/hyperlink" Target="https://dalil.kg/document/13313#p6" TargetMode="External"/><Relationship Id="rIdhhjrqwtmfqebreyieiaie" Type="http://schemas.openxmlformats.org/officeDocument/2006/relationships/hyperlink" Target="https://dalil.kg/document/13313#p7" TargetMode="External"/><Relationship Id="rIdokour9gjorv446g9vw7al" Type="http://schemas.openxmlformats.org/officeDocument/2006/relationships/hyperlink" Target="https://dalil.kg/document/13313#p8" TargetMode="External"/><Relationship Id="rId7uelpdeufeaopm5lfknij" Type="http://schemas.openxmlformats.org/officeDocument/2006/relationships/hyperlink" Target="https://dalil.kg/document/13313#p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yxpfegzwwqlcjqslhpj" Type="http://schemas.openxmlformats.org/officeDocument/2006/relationships/hyperlink" Target="https://dalil.kg/document/13313" TargetMode="External"/><Relationship Id="rIdinfgnh6xtful6vsqktd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2026-09-23T16:21:09.826Z</dcterms:created>
  <dcterms:modified xsi:type="dcterms:W3CDTF">2026-09-23T16:21:09.826Z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