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sz w:val="24"/>
          <w:szCs w:val="24"/>
        </w:rPr>
        <w:t xml:space="preserve">(</w:t>
      </w:r>
      <w:r>
        <w:rPr>
          <w:rFonts w:ascii="Arial" w:cs="Arial" w:eastAsia="Arial" w:hAnsi="Arial"/>
          <w:i/>
          <w:iCs/>
          <w:sz w:val="24"/>
          <w:szCs w:val="24"/>
        </w:rPr>
        <w:t xml:space="preserve">к </w:t>
      </w:r>
      <w:hyperlink w:history="1" r:id="rIdcnekp8pipvfavi84ncboe">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w:t>
      </w:r>
    </w:p>
    <w:p>
      <w:pPr>
        <w:spacing w:after="120"/>
        <w:jc w:val="right"/>
      </w:pPr>
      <w:r>
        <w:rPr>
          <w:rFonts w:ascii="Arial" w:cs="Arial" w:eastAsia="Arial" w:hAnsi="Arial"/>
          <w:i/>
          <w:iCs/>
          <w:sz w:val="24"/>
          <w:szCs w:val="24"/>
        </w:rPr>
        <w:t xml:space="preserve">Кыргызской Республики </w:t>
      </w:r>
    </w:p>
    <w:p>
      <w:pPr>
        <w:spacing w:after="120"/>
        <w:jc w:val="right"/>
      </w:pPr>
      <w:r>
        <w:rPr>
          <w:rFonts w:ascii="Arial" w:cs="Arial" w:eastAsia="Arial" w:hAnsi="Arial"/>
          <w:i/>
          <w:iCs/>
          <w:sz w:val="24"/>
          <w:szCs w:val="24"/>
        </w:rPr>
        <w:t xml:space="preserve">от 28 января 2019 года № 28</w:t>
      </w:r>
      <w:r>
        <w:rPr>
          <w:rFonts w:ascii="Arial" w:cs="Arial" w:eastAsia="Arial" w:hAnsi="Arial"/>
          <w:sz w:val="24"/>
          <w:szCs w:val="24"/>
        </w:rPr>
        <w:t xml:space="preserve">)</w:t>
      </w:r>
    </w:p>
    <w:p>
      <w:pPr>
        <w:spacing w:after="240" w:before="200"/>
        <w:jc w:val="center"/>
      </w:pPr>
      <w:r>
        <w:rPr>
          <w:rFonts w:ascii="Arial" w:cs="Arial" w:eastAsia="Arial" w:hAnsi="Arial"/>
          <w:b/>
          <w:bCs/>
          <w:sz w:val="32"/>
          <w:szCs w:val="32"/>
        </w:rPr>
        <w:t xml:space="preserve">ПРОЕКТ
 «Финансирование сельского хозяйства – 7»</w:t>
      </w:r>
    </w:p>
    <w:p>
      <w:pPr>
        <w:spacing w:after="240" w:before="200"/>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Целью Проекта «Финансирование сельского хозяйства – 7» (далее – Проект) является оказание государственной поддержки субъектам предпринимательства и физическим лицам Кыргызской Республики (далее – хозяйствующие субъекты) для своевременного проведения весенне-полевых работ в 2019 году и дальнейшего развития животноводства, растениеводства и переработки сельскохозяйственной продукции путем обеспечения доступными и льготными кредитными средствами.</w:t>
      </w:r>
    </w:p>
    <w:p>
      <w:pPr>
        <w:spacing w:after="120"/>
        <w:jc w:val="both"/>
      </w:pPr>
      <w:r>
        <w:rPr>
          <w:rFonts w:ascii="Arial" w:cs="Arial" w:eastAsia="Arial" w:hAnsi="Arial"/>
          <w:sz w:val="24"/>
          <w:szCs w:val="24"/>
        </w:rPr>
        <w:t xml:space="preserve">Срок реализации Проекта – 60 месяцев.</w:t>
      </w:r>
    </w:p>
    <w:p>
      <w:pPr>
        <w:spacing w:after="120"/>
        <w:jc w:val="both"/>
      </w:pPr>
      <w:r>
        <w:rPr>
          <w:rFonts w:ascii="Arial" w:cs="Arial" w:eastAsia="Arial" w:hAnsi="Arial"/>
          <w:sz w:val="24"/>
          <w:szCs w:val="24"/>
        </w:rPr>
        <w:t xml:space="preserve">Источники финансирования: республиканский бюджет Кыргызской Республики на 2019-2023 годы, средства коммерческих банков и небанковских финансово-кредитных организаций.</w:t>
      </w:r>
    </w:p>
    <w:p>
      <w:pPr>
        <w:spacing w:after="120"/>
        <w:jc w:val="both"/>
      </w:pPr>
      <w:r>
        <w:rPr>
          <w:rFonts w:ascii="Arial" w:cs="Arial" w:eastAsia="Arial" w:hAnsi="Arial"/>
          <w:sz w:val="24"/>
          <w:szCs w:val="24"/>
        </w:rPr>
        <w:t xml:space="preserve">Начало реализации Проекта – февраль 2019 года.</w:t>
      </w:r>
    </w:p>
    <w:p>
      <w:pPr>
        <w:spacing w:after="120"/>
        <w:jc w:val="both"/>
      </w:pPr>
      <w:r>
        <w:rPr>
          <w:rFonts w:ascii="Arial" w:cs="Arial" w:eastAsia="Arial" w:hAnsi="Arial"/>
          <w:sz w:val="24"/>
          <w:szCs w:val="24"/>
        </w:rPr>
        <w:t xml:space="preserve">Ответственные исполнители: Министерство финансов Кыргызской Республики, Министерство сельского хозяйства, пищевой промышленности и мелиорации Кыргызской Республики, Министерство экономики Кыргызской Республики, коммерческие банки и небанковские финансово-кредитные организации, участвующие в реализации Проекта.</w:t>
      </w:r>
    </w:p>
    <w:p>
      <w:pPr>
        <w:spacing w:after="120"/>
        <w:jc w:val="both"/>
      </w:pPr>
      <w:r>
        <w:rPr>
          <w:rFonts w:ascii="Arial" w:cs="Arial" w:eastAsia="Arial" w:hAnsi="Arial"/>
          <w:sz w:val="24"/>
          <w:szCs w:val="24"/>
        </w:rPr>
        <w:t xml:space="preserve">Описание Проекта. В рамках Проекта в течение 2019 года финансовые средства коммерческих банков и небанковских финансово-кредитных организаций будут предоставляться хозяйствующим субъектам для развития растениеводства, животноводства, переработки сельскохозяйственной продукции по льготным процентным ставкам.</w:t>
      </w:r>
    </w:p>
    <w:p>
      <w:pPr>
        <w:spacing w:after="120"/>
        <w:jc w:val="both"/>
      </w:pPr>
      <w:r>
        <w:rPr>
          <w:rFonts w:ascii="Arial" w:cs="Arial" w:eastAsia="Arial" w:hAnsi="Arial"/>
          <w:sz w:val="24"/>
          <w:szCs w:val="24"/>
        </w:rPr>
        <w:t xml:space="preserve">Правительство Кыргызской Республики субсидирует расходы коммерческих банков и небанковских финансово-кредитных организаций из средств республиканского бюджета на 2019-2023 годы за размещение кредитов по льготным процентным ставкам.</w:t>
      </w:r>
    </w:p>
    <w:p>
      <w:pPr>
        <w:spacing w:after="120"/>
        <w:jc w:val="both"/>
      </w:pPr>
      <w:r>
        <w:rPr>
          <w:rFonts w:ascii="Arial" w:cs="Arial" w:eastAsia="Arial" w:hAnsi="Arial"/>
          <w:sz w:val="24"/>
          <w:szCs w:val="24"/>
        </w:rPr>
        <w:t xml:space="preserve">Порядок предоставления кредитов осуществляется согласно требованиям законодательства Кыргызской Республики и нормативным правовым актам Национального банка Кыргызской Республики.</w:t>
      </w:r>
    </w:p>
    <w:p>
      <w:pPr>
        <w:spacing w:after="120"/>
        <w:jc w:val="both"/>
      </w:pPr>
      <w:r>
        <w:rPr>
          <w:rFonts w:ascii="Arial" w:cs="Arial" w:eastAsia="Arial" w:hAnsi="Arial"/>
          <w:sz w:val="24"/>
          <w:szCs w:val="24"/>
        </w:rPr>
        <w:t xml:space="preserve">Все риски по возврату выданных кредитов несут коммерческие банки и небанковские финансово-кредитные организации, отбор заемщиков производится в соответствии с их внутренними процедурами.</w:t>
      </w:r>
    </w:p>
    <w:p>
      <w:pPr>
        <w:spacing w:after="120"/>
        <w:jc w:val="both"/>
      </w:pPr>
      <w:r>
        <w:rPr>
          <w:rFonts w:ascii="Arial" w:cs="Arial" w:eastAsia="Arial" w:hAnsi="Arial"/>
          <w:sz w:val="24"/>
          <w:szCs w:val="24"/>
        </w:rPr>
        <w:t xml:space="preserve">Коммерческие банки и небанковские финансово-кредитные организации вправе осуществлять финансирование хозяйствующих субъектов в рамках настоящего Проекта под гарантию Российско-Кыргызского Фонда развития.</w:t>
      </w:r>
    </w:p>
    <w:p>
      <w:pPr>
        <w:spacing w:after="120"/>
        <w:jc w:val="both"/>
      </w:pPr>
      <w:r>
        <w:rPr>
          <w:rFonts w:ascii="Arial" w:cs="Arial" w:eastAsia="Arial" w:hAnsi="Arial"/>
          <w:sz w:val="24"/>
          <w:szCs w:val="24"/>
        </w:rPr>
        <w:t xml:space="preserve">Коммерческие банки и небанковские финансово-кредитные организации не вправе осуществлять рефинансирование имеющейся задолженности заемщиков.</w:t>
      </w:r>
    </w:p>
    <w:p>
      <w:pPr>
        <w:spacing w:after="120"/>
        <w:jc w:val="both"/>
      </w:pPr>
      <w:r>
        <w:rPr>
          <w:rFonts w:ascii="Arial" w:cs="Arial" w:eastAsia="Arial" w:hAnsi="Arial"/>
          <w:sz w:val="24"/>
          <w:szCs w:val="24"/>
        </w:rPr>
        <w:t xml:space="preserve">Коммерческие банки и небанковские финансово-кредитные организации, участвующие в Проекте, обязаны кредитовать заемщиков на следующих основных общих условиях: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59"/>
        <w:gridCol w:w="8319"/>
      </w:tblGrid>
      <w:tr>
        <w:tc>
          <w:tcPr>
            <w:tcW w:type="dxa" w:w="185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Целевая отрасль</w:t>
            </w:r>
          </w:p>
        </w:tc>
        <w:tc>
          <w:tcPr>
            <w:tcW w:type="dxa" w:w="83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Растениеводство, животноводство, переработка сельскохозяйственной продукции</w:t>
            </w:r>
          </w:p>
        </w:tc>
      </w:tr>
      <w:tr>
        <w:tc>
          <w:tcPr>
            <w:tcW w:type="dxa" w:w="18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Конечная процентная ставка</w:t>
            </w:r>
          </w:p>
        </w:tc>
        <w:tc>
          <w:tcPr>
            <w:tcW w:type="dxa" w:w="8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процентов годовых:</w:t>
            </w:r>
          </w:p>
          <w:p>
            <w:pPr>
              <w:jc w:val="left"/>
            </w:pPr>
            <w:r>
              <w:rPr>
                <w:rFonts w:ascii="Arial" w:cs="Arial" w:eastAsia="Arial" w:hAnsi="Arial"/>
                <w:sz w:val="24"/>
                <w:szCs w:val="24"/>
              </w:rPr>
              <w:t xml:space="preserve">- для приоритетных направлений кредитования, указанных в главе 1;</w:t>
            </w:r>
          </w:p>
          <w:p>
            <w:pPr>
              <w:jc w:val="left"/>
            </w:pPr>
            <w:r>
              <w:rPr>
                <w:rFonts w:ascii="Arial" w:cs="Arial" w:eastAsia="Arial" w:hAnsi="Arial"/>
                <w:sz w:val="24"/>
                <w:szCs w:val="24"/>
              </w:rPr>
              <w:t xml:space="preserve">- для отрасли «Переработка сельскохозяйственной продукции»;</w:t>
            </w:r>
          </w:p>
          <w:p>
            <w:pPr>
              <w:jc w:val="left"/>
            </w:pPr>
            <w:r>
              <w:rPr>
                <w:rFonts w:ascii="Arial" w:cs="Arial" w:eastAsia="Arial" w:hAnsi="Arial"/>
                <w:sz w:val="24"/>
                <w:szCs w:val="24"/>
              </w:rPr>
              <w:t xml:space="preserve">8 процентов годовых:</w:t>
            </w:r>
          </w:p>
          <w:p>
            <w:pPr>
              <w:jc w:val="left"/>
            </w:pPr>
            <w:r>
              <w:rPr>
                <w:rFonts w:ascii="Arial" w:cs="Arial" w:eastAsia="Arial" w:hAnsi="Arial"/>
                <w:sz w:val="24"/>
                <w:szCs w:val="24"/>
              </w:rPr>
              <w:t xml:space="preserve">- для субъектов, занимающихся садоводством и интенсивным лесоводством;</w:t>
            </w:r>
          </w:p>
          <w:p>
            <w:pPr>
              <w:jc w:val="left"/>
            </w:pPr>
            <w:r>
              <w:rPr>
                <w:rFonts w:ascii="Arial" w:cs="Arial" w:eastAsia="Arial" w:hAnsi="Arial"/>
                <w:sz w:val="24"/>
                <w:szCs w:val="24"/>
              </w:rPr>
              <w:t xml:space="preserve">- для субъектов, занимающихся ведением тепличного хозяйства и внедрением системы капельного орошения;</w:t>
            </w:r>
          </w:p>
          <w:p>
            <w:pPr>
              <w:jc w:val="left"/>
            </w:pPr>
            <w:r>
              <w:rPr>
                <w:rFonts w:ascii="Arial" w:cs="Arial" w:eastAsia="Arial" w:hAnsi="Arial"/>
                <w:sz w:val="24"/>
                <w:szCs w:val="24"/>
              </w:rPr>
              <w:t xml:space="preserve">- для субъектов, приобретающих племенной скот и скот либо оборудование для искусственного осеменения, указанных в главе 2;</w:t>
            </w:r>
          </w:p>
          <w:p>
            <w:pPr>
              <w:jc w:val="left"/>
            </w:pPr>
            <w:r>
              <w:rPr>
                <w:rFonts w:ascii="Arial" w:cs="Arial" w:eastAsia="Arial" w:hAnsi="Arial"/>
                <w:sz w:val="24"/>
                <w:szCs w:val="24"/>
              </w:rPr>
              <w:t xml:space="preserve">10 процентов годовых – для отраслей «Животноводство» и «Растениеводство»</w:t>
            </w:r>
          </w:p>
        </w:tc>
      </w:tr>
      <w:tr>
        <w:tc>
          <w:tcPr>
            <w:tcW w:type="dxa" w:w="18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 кредита</w:t>
            </w:r>
          </w:p>
        </w:tc>
        <w:tc>
          <w:tcPr>
            <w:tcW w:type="dxa" w:w="8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36 месяцев;</w:t>
            </w:r>
          </w:p>
          <w:p>
            <w:pPr>
              <w:jc w:val="left"/>
            </w:pPr>
            <w:r>
              <w:rPr>
                <w:rFonts w:ascii="Arial" w:cs="Arial" w:eastAsia="Arial" w:hAnsi="Arial"/>
                <w:sz w:val="24"/>
                <w:szCs w:val="24"/>
              </w:rPr>
              <w:t xml:space="preserve">для кредитов, выдаваемых на садоводство, интенсивное лесоводство, семеноводческим и племенным хозяйствам, вновь создаваемым пищевым перерабатывающим предприятиям, на ведение тепличного хозяйства, внедрение системы капельного орошения, допускается установление срока погашения до 60 месяцев.</w:t>
            </w:r>
          </w:p>
        </w:tc>
      </w:tr>
      <w:tr>
        <w:tc>
          <w:tcPr>
            <w:tcW w:type="dxa" w:w="18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Льготный период</w:t>
            </w:r>
          </w:p>
        </w:tc>
        <w:tc>
          <w:tcPr>
            <w:tcW w:type="dxa" w:w="8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освобождение от уплаты взносов по основной сумме задолженности до 6 месяцев</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Кредитные средства в размере до 150 (ста пятидесяти) тысяч сомов по индивидуальным кредитам и до 500 (пятисот) тысяч сомов по групповым кредитам могут выдаваться на беззалоговой основе, со сроком возврата до 18 месяцев, при наличии письменной рекомендации айыл окмоту. При этом общая сумма, направляемая на данные цели, не должна превышать 7 процентов общей суммы кредитования.</w:t>
      </w:r>
    </w:p>
    <w:p>
      <w:pPr>
        <w:spacing w:after="120"/>
        <w:jc w:val="both"/>
      </w:pPr>
      <w:r>
        <w:rPr>
          <w:rFonts w:ascii="Arial" w:cs="Arial" w:eastAsia="Arial" w:hAnsi="Arial"/>
          <w:sz w:val="24"/>
          <w:szCs w:val="24"/>
        </w:rPr>
        <w:t xml:space="preserve">Коммерческим банкам и небанковским финансово-кредитным организациям разрешается за счет собственных расходов устанавливать более длительный льготный период, чем указанный в Проекте.</w:t>
      </w:r>
    </w:p>
    <w:p>
      <w:pPr>
        <w:spacing w:after="120"/>
        <w:jc w:val="both"/>
      </w:pPr>
      <w:r>
        <w:rPr>
          <w:rFonts w:ascii="Arial" w:cs="Arial" w:eastAsia="Arial" w:hAnsi="Arial"/>
          <w:sz w:val="24"/>
          <w:szCs w:val="24"/>
        </w:rPr>
        <w:t xml:space="preserve">Приоритетными направлениями в кредитовании являются хозяйствующие субъекты, внедряющие систему кластерного производства, организующие кластеры и участвующие в цепочке добавленной стоимости, с учетом специализации сельских регионов, а также производители, имеющие заключенные договоры на экспорт следующих 11 видов продукции сельского хозяйства:</w:t>
      </w:r>
    </w:p>
    <w:p>
      <w:pPr>
        <w:spacing w:after="120"/>
        <w:jc w:val="both"/>
      </w:pPr>
      <w:r>
        <w:rPr>
          <w:rFonts w:ascii="Arial" w:cs="Arial" w:eastAsia="Arial" w:hAnsi="Arial"/>
          <w:sz w:val="24"/>
          <w:szCs w:val="24"/>
        </w:rPr>
        <w:t xml:space="preserve">- молоко;</w:t>
      </w:r>
    </w:p>
    <w:p>
      <w:pPr>
        <w:spacing w:after="120"/>
        <w:jc w:val="both"/>
      </w:pPr>
      <w:r>
        <w:rPr>
          <w:rFonts w:ascii="Arial" w:cs="Arial" w:eastAsia="Arial" w:hAnsi="Arial"/>
          <w:sz w:val="24"/>
          <w:szCs w:val="24"/>
        </w:rPr>
        <w:t xml:space="preserve">- мясо;</w:t>
      </w:r>
    </w:p>
    <w:p>
      <w:pPr>
        <w:spacing w:after="120"/>
        <w:jc w:val="both"/>
      </w:pPr>
      <w:r>
        <w:rPr>
          <w:rFonts w:ascii="Arial" w:cs="Arial" w:eastAsia="Arial" w:hAnsi="Arial"/>
          <w:sz w:val="24"/>
          <w:szCs w:val="24"/>
        </w:rPr>
        <w:t xml:space="preserve">- шерсть,</w:t>
      </w:r>
    </w:p>
    <w:p>
      <w:pPr>
        <w:spacing w:after="120"/>
        <w:jc w:val="both"/>
      </w:pPr>
      <w:r>
        <w:rPr>
          <w:rFonts w:ascii="Arial" w:cs="Arial" w:eastAsia="Arial" w:hAnsi="Arial"/>
          <w:sz w:val="24"/>
          <w:szCs w:val="24"/>
        </w:rPr>
        <w:t xml:space="preserve">- мед;</w:t>
      </w:r>
    </w:p>
    <w:p>
      <w:pPr>
        <w:spacing w:after="120"/>
        <w:jc w:val="both"/>
      </w:pPr>
      <w:r>
        <w:rPr>
          <w:rFonts w:ascii="Arial" w:cs="Arial" w:eastAsia="Arial" w:hAnsi="Arial"/>
          <w:sz w:val="24"/>
          <w:szCs w:val="24"/>
        </w:rPr>
        <w:t xml:space="preserve">- рыба;</w:t>
      </w:r>
    </w:p>
    <w:p>
      <w:pPr>
        <w:spacing w:after="120"/>
        <w:jc w:val="both"/>
      </w:pPr>
      <w:r>
        <w:rPr>
          <w:rFonts w:ascii="Arial" w:cs="Arial" w:eastAsia="Arial" w:hAnsi="Arial"/>
          <w:sz w:val="24"/>
          <w:szCs w:val="24"/>
        </w:rPr>
        <w:t xml:space="preserve">- овощи (лук, чеснок, томат);</w:t>
      </w:r>
    </w:p>
    <w:p>
      <w:pPr>
        <w:spacing w:after="120"/>
        <w:jc w:val="both"/>
      </w:pPr>
      <w:r>
        <w:rPr>
          <w:rFonts w:ascii="Arial" w:cs="Arial" w:eastAsia="Arial" w:hAnsi="Arial"/>
          <w:sz w:val="24"/>
          <w:szCs w:val="24"/>
        </w:rPr>
        <w:t xml:space="preserve">- картофель;</w:t>
      </w:r>
    </w:p>
    <w:p>
      <w:pPr>
        <w:spacing w:after="120"/>
        <w:jc w:val="both"/>
      </w:pPr>
      <w:r>
        <w:rPr>
          <w:rFonts w:ascii="Arial" w:cs="Arial" w:eastAsia="Arial" w:hAnsi="Arial"/>
          <w:sz w:val="24"/>
          <w:szCs w:val="24"/>
        </w:rPr>
        <w:t xml:space="preserve">- фрукты (семечковые, косточковые);</w:t>
      </w:r>
    </w:p>
    <w:p>
      <w:pPr>
        <w:spacing w:after="120"/>
        <w:jc w:val="both"/>
      </w:pPr>
      <w:r>
        <w:rPr>
          <w:rFonts w:ascii="Arial" w:cs="Arial" w:eastAsia="Arial" w:hAnsi="Arial"/>
          <w:sz w:val="24"/>
          <w:szCs w:val="24"/>
        </w:rPr>
        <w:t xml:space="preserve">- ягоды (малина, клубника, смородина);</w:t>
      </w:r>
    </w:p>
    <w:p>
      <w:pPr>
        <w:spacing w:after="120"/>
        <w:jc w:val="both"/>
      </w:pPr>
      <w:r>
        <w:rPr>
          <w:rFonts w:ascii="Arial" w:cs="Arial" w:eastAsia="Arial" w:hAnsi="Arial"/>
          <w:sz w:val="24"/>
          <w:szCs w:val="24"/>
        </w:rPr>
        <w:t xml:space="preserve">- технические культуры (хлопчатник, табак);</w:t>
      </w:r>
    </w:p>
    <w:p>
      <w:pPr>
        <w:spacing w:after="120"/>
        <w:jc w:val="both"/>
      </w:pPr>
      <w:r>
        <w:rPr>
          <w:rFonts w:ascii="Arial" w:cs="Arial" w:eastAsia="Arial" w:hAnsi="Arial"/>
          <w:sz w:val="24"/>
          <w:szCs w:val="24"/>
        </w:rPr>
        <w:t xml:space="preserve">- фасоль.</w:t>
      </w:r>
    </w:p>
    <w:p>
      <w:pPr>
        <w:spacing w:after="120"/>
        <w:jc w:val="both"/>
      </w:pPr>
      <w:r>
        <w:rPr>
          <w:rFonts w:ascii="Arial" w:cs="Arial" w:eastAsia="Arial" w:hAnsi="Arial"/>
          <w:sz w:val="24"/>
          <w:szCs w:val="24"/>
        </w:rPr>
        <w:t xml:space="preserve">Также, приоритетными направлениями в кредитовании являются хозяйства, которым в установленном порядке присвоен статус племенного завода, племенной фермы, и семеноводческого хозяйства, а также субъекты, занимающиеся выращиванием сахарной свеклы.</w:t>
      </w:r>
    </w:p>
    <w:p>
      <w:pPr>
        <w:spacing w:after="120"/>
        <w:jc w:val="both"/>
      </w:pPr>
      <w:r>
        <w:rPr>
          <w:rFonts w:ascii="Arial" w:cs="Arial" w:eastAsia="Arial" w:hAnsi="Arial"/>
          <w:sz w:val="24"/>
          <w:szCs w:val="24"/>
        </w:rPr>
        <w:t xml:space="preserve">В случае недостаточного залогового обеспечения у потенциальных заемщиков, последние вправе обратиться в открытое акционерное общество «Гарантийный фонд» (далее – ОАО «Гарантийный фонд») с заявлением о получении гарантии.</w:t>
      </w:r>
    </w:p>
    <w:p>
      <w:pPr>
        <w:spacing w:after="120"/>
        <w:jc w:val="both"/>
      </w:pPr>
      <w:r>
        <w:rPr>
          <w:rFonts w:ascii="Arial" w:cs="Arial" w:eastAsia="Arial" w:hAnsi="Arial"/>
          <w:sz w:val="24"/>
          <w:szCs w:val="24"/>
        </w:rPr>
        <w:t xml:space="preserve">Гарантии предоставляются коммерческим банкам и небанковским финансово-кредитным организациям, заключившим соглашения о сотрудничестве с ОАО «Гарантийный фонд».</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Дополнительные условия для хозяйствующих субъектов отрасли «Животноводство»</w:t>
      </w:r>
    </w:p>
    <w:p>
      <w:pPr>
        <w:spacing w:after="120"/>
        <w:jc w:val="both"/>
      </w:pPr>
      <w:r>
        <w:rPr>
          <w:rFonts w:ascii="Arial" w:cs="Arial" w:eastAsia="Arial" w:hAnsi="Arial"/>
          <w:sz w:val="24"/>
          <w:szCs w:val="24"/>
        </w:rPr>
        <w:t xml:space="preserve">Средства, направляемые для данной отрасли, должны составлять не более 50 процентов общей суммы финансирования, из них не менее 10 процентов должны быть направлены на приобретение племенного скота.</w:t>
      </w:r>
    </w:p>
    <w:p>
      <w:pPr>
        <w:spacing w:after="120"/>
        <w:jc w:val="both"/>
      </w:pPr>
      <w:r>
        <w:rPr>
          <w:rFonts w:ascii="Arial" w:cs="Arial" w:eastAsia="Arial" w:hAnsi="Arial"/>
          <w:sz w:val="24"/>
          <w:szCs w:val="24"/>
        </w:rPr>
        <w:t xml:space="preserve">К данной отрасли относятся хозяйствующие субъекты, занимающиеся:</w:t>
      </w:r>
    </w:p>
    <w:p>
      <w:pPr>
        <w:spacing w:after="120"/>
        <w:jc w:val="both"/>
      </w:pPr>
      <w:r>
        <w:rPr>
          <w:rFonts w:ascii="Arial" w:cs="Arial" w:eastAsia="Arial" w:hAnsi="Arial"/>
          <w:sz w:val="24"/>
          <w:szCs w:val="24"/>
        </w:rPr>
        <w:t xml:space="preserve">- разведением крупного рогатого скота;</w:t>
      </w:r>
    </w:p>
    <w:p>
      <w:pPr>
        <w:spacing w:after="120"/>
        <w:jc w:val="both"/>
      </w:pPr>
      <w:r>
        <w:rPr>
          <w:rFonts w:ascii="Arial" w:cs="Arial" w:eastAsia="Arial" w:hAnsi="Arial"/>
          <w:sz w:val="24"/>
          <w:szCs w:val="24"/>
        </w:rPr>
        <w:t xml:space="preserve">- разведением овец, коз, лошадей, кроликов;</w:t>
      </w:r>
    </w:p>
    <w:p>
      <w:pPr>
        <w:spacing w:after="120"/>
        <w:jc w:val="both"/>
      </w:pPr>
      <w:r>
        <w:rPr>
          <w:rFonts w:ascii="Arial" w:cs="Arial" w:eastAsia="Arial" w:hAnsi="Arial"/>
          <w:sz w:val="24"/>
          <w:szCs w:val="24"/>
        </w:rPr>
        <w:t xml:space="preserve">- разведением птицы (кур, уток, гусей, страусов, перепелок и других сельскохозяйственных птиц);</w:t>
      </w:r>
    </w:p>
    <w:p>
      <w:pPr>
        <w:spacing w:after="120"/>
        <w:jc w:val="both"/>
      </w:pPr>
      <w:r>
        <w:rPr>
          <w:rFonts w:ascii="Arial" w:cs="Arial" w:eastAsia="Arial" w:hAnsi="Arial"/>
          <w:sz w:val="24"/>
          <w:szCs w:val="24"/>
        </w:rPr>
        <w:t xml:space="preserve">- разведением медовых пчел, включая производство пчелиного меда и пчелиного воска;</w:t>
      </w:r>
    </w:p>
    <w:p>
      <w:pPr>
        <w:spacing w:after="120"/>
        <w:jc w:val="both"/>
      </w:pPr>
      <w:r>
        <w:rPr>
          <w:rFonts w:ascii="Arial" w:cs="Arial" w:eastAsia="Arial" w:hAnsi="Arial"/>
          <w:sz w:val="24"/>
          <w:szCs w:val="24"/>
        </w:rPr>
        <w:t xml:space="preserve">- рыбоводством и деятельностью рыбопитомников и рыбных ферм.</w:t>
      </w:r>
    </w:p>
    <w:p>
      <w:pPr>
        <w:spacing w:after="120"/>
        <w:jc w:val="both"/>
      </w:pPr>
      <w:r>
        <w:rPr>
          <w:rFonts w:ascii="Arial" w:cs="Arial" w:eastAsia="Arial" w:hAnsi="Arial"/>
          <w:sz w:val="24"/>
          <w:szCs w:val="24"/>
        </w:rPr>
        <w:t xml:space="preserve">К племенному скоту относятся следующие породы:</w:t>
      </w:r>
    </w:p>
    <w:p>
      <w:pPr>
        <w:spacing w:after="120"/>
        <w:jc w:val="both"/>
      </w:pPr>
      <w:r>
        <w:rPr>
          <w:rFonts w:ascii="Arial" w:cs="Arial" w:eastAsia="Arial" w:hAnsi="Arial"/>
          <w:sz w:val="24"/>
          <w:szCs w:val="24"/>
        </w:rPr>
        <w:t xml:space="preserve">- крупного рогатого скота (алатауская, черно-пестрая, аулие-атинская, а также голштинская, джерсейская, симментальская, айширская, герефордская, голландская, ярославская, холмогорская, бурая швицкая), лошадей и яков;</w:t>
      </w:r>
    </w:p>
    <w:p>
      <w:pPr>
        <w:spacing w:after="120"/>
        <w:jc w:val="both"/>
      </w:pPr>
      <w:r>
        <w:rPr>
          <w:rFonts w:ascii="Arial" w:cs="Arial" w:eastAsia="Arial" w:hAnsi="Arial"/>
          <w:sz w:val="24"/>
          <w:szCs w:val="24"/>
        </w:rPr>
        <w:t xml:space="preserve">- овец (тонкорунная, тянь-шаньская полутонкорунная, алайская, гисарская и меринос).</w:t>
      </w:r>
    </w:p>
    <w:p>
      <w:pPr>
        <w:spacing w:after="120"/>
        <w:jc w:val="both"/>
      </w:pPr>
      <w:r>
        <w:rPr>
          <w:rFonts w:ascii="Arial" w:cs="Arial" w:eastAsia="Arial" w:hAnsi="Arial"/>
          <w:sz w:val="24"/>
          <w:szCs w:val="24"/>
        </w:rPr>
        <w:t xml:space="preserve">Хозяйствующие субъекты данной отрасли в рамках настоящего Проекта могут получить кредит до 3 (три) млн сомов на одного заемщика. Хозяйствующие субъекты, приобретающие племенной скот и скот либо оборудование для искусственного осеменения, могут получить кредит до 10 (десять) млн сомов.</w:t>
      </w:r>
    </w:p>
    <w:p>
      <w:pPr>
        <w:spacing w:after="120"/>
        <w:jc w:val="both"/>
      </w:pPr>
      <w:r>
        <w:rPr>
          <w:rFonts w:ascii="Arial" w:cs="Arial" w:eastAsia="Arial" w:hAnsi="Arial"/>
          <w:sz w:val="24"/>
          <w:szCs w:val="24"/>
        </w:rPr>
        <w:t xml:space="preserve">Хозяйствующие субъекты данной отрасли должны иметь все необходимые условия для содержания и разведения сельскохозяйственных животных, включая условия для хранения кормов в зимний период.</w:t>
      </w:r>
    </w:p>
    <w:p>
      <w:pPr>
        <w:spacing w:after="120"/>
        <w:jc w:val="both"/>
      </w:pPr>
      <w:r>
        <w:rPr>
          <w:rFonts w:ascii="Arial" w:cs="Arial" w:eastAsia="Arial" w:hAnsi="Arial"/>
          <w:sz w:val="24"/>
          <w:szCs w:val="24"/>
        </w:rPr>
        <w:t xml:space="preserve">Приоритетом в кредитовании являются хозяйствующие субъекты, заключившие договоры (контракты) с перерабатывающими предприятиями на поставку своей продукции.</w:t>
      </w:r>
    </w:p>
    <w:p>
      <w:pPr>
        <w:spacing w:after="120"/>
        <w:jc w:val="both"/>
      </w:pPr>
      <w:r>
        <w:rPr>
          <w:rFonts w:ascii="Arial" w:cs="Arial" w:eastAsia="Arial" w:hAnsi="Arial"/>
          <w:sz w:val="24"/>
          <w:szCs w:val="24"/>
        </w:rPr>
        <w:t xml:space="preserve">Коммерческие банки и небанковские финансово-кредитные организации в рамках настоящего Проекта, при необходимости, имеют право проводить опрос соседей и односельчан о достоверности представленных хозяйствующими субъектами сведений.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Дополнительные условия для хозяйствующих субъектов отрасли «Растениеводство»</w:t>
      </w:r>
    </w:p>
    <w:p>
      <w:pPr>
        <w:spacing w:after="120"/>
        <w:jc w:val="both"/>
      </w:pPr>
      <w:r>
        <w:rPr>
          <w:rFonts w:ascii="Arial" w:cs="Arial" w:eastAsia="Arial" w:hAnsi="Arial"/>
          <w:sz w:val="24"/>
          <w:szCs w:val="24"/>
        </w:rPr>
        <w:t xml:space="preserve">Средства, направляемые для данной отрасли, должны составлять не более 25 процентов общей суммы финансирования, из них не более 50 процентов – на садоводство.</w:t>
      </w:r>
    </w:p>
    <w:p>
      <w:pPr>
        <w:spacing w:after="120"/>
        <w:jc w:val="both"/>
      </w:pPr>
      <w:r>
        <w:rPr>
          <w:rFonts w:ascii="Arial" w:cs="Arial" w:eastAsia="Arial" w:hAnsi="Arial"/>
          <w:sz w:val="24"/>
          <w:szCs w:val="24"/>
        </w:rPr>
        <w:t xml:space="preserve">К отрасли «Растениеводство» относятся:</w:t>
      </w:r>
    </w:p>
    <w:p>
      <w:pPr>
        <w:spacing w:after="120"/>
        <w:jc w:val="both"/>
      </w:pPr>
      <w:r>
        <w:rPr>
          <w:rFonts w:ascii="Arial" w:cs="Arial" w:eastAsia="Arial" w:hAnsi="Arial"/>
          <w:sz w:val="24"/>
          <w:szCs w:val="24"/>
        </w:rPr>
        <w:t xml:space="preserve">- выращивание зерновых культур;</w:t>
      </w:r>
    </w:p>
    <w:p>
      <w:pPr>
        <w:spacing w:after="120"/>
        <w:jc w:val="both"/>
      </w:pPr>
      <w:r>
        <w:rPr>
          <w:rFonts w:ascii="Arial" w:cs="Arial" w:eastAsia="Arial" w:hAnsi="Arial"/>
          <w:sz w:val="24"/>
          <w:szCs w:val="24"/>
        </w:rPr>
        <w:t xml:space="preserve">- выращивание технических культур;</w:t>
      </w:r>
    </w:p>
    <w:p>
      <w:pPr>
        <w:spacing w:after="120"/>
        <w:jc w:val="both"/>
      </w:pPr>
      <w:r>
        <w:rPr>
          <w:rFonts w:ascii="Arial" w:cs="Arial" w:eastAsia="Arial" w:hAnsi="Arial"/>
          <w:sz w:val="24"/>
          <w:szCs w:val="24"/>
        </w:rPr>
        <w:t xml:space="preserve">- выращивание овощей, бахчевых культур;</w:t>
      </w:r>
    </w:p>
    <w:p>
      <w:pPr>
        <w:spacing w:after="120"/>
        <w:jc w:val="both"/>
      </w:pPr>
      <w:r>
        <w:rPr>
          <w:rFonts w:ascii="Arial" w:cs="Arial" w:eastAsia="Arial" w:hAnsi="Arial"/>
          <w:sz w:val="24"/>
          <w:szCs w:val="24"/>
        </w:rPr>
        <w:t xml:space="preserve">- садоводство, питомниководство;</w:t>
      </w:r>
    </w:p>
    <w:p>
      <w:pPr>
        <w:spacing w:after="120"/>
        <w:jc w:val="both"/>
      </w:pPr>
      <w:r>
        <w:rPr>
          <w:rFonts w:ascii="Arial" w:cs="Arial" w:eastAsia="Arial" w:hAnsi="Arial"/>
          <w:sz w:val="24"/>
          <w:szCs w:val="24"/>
        </w:rPr>
        <w:t xml:space="preserve">- ведение тепличного хозяйства;</w:t>
      </w:r>
    </w:p>
    <w:p>
      <w:pPr>
        <w:spacing w:after="120"/>
        <w:jc w:val="both"/>
      </w:pPr>
      <w:r>
        <w:rPr>
          <w:rFonts w:ascii="Arial" w:cs="Arial" w:eastAsia="Arial" w:hAnsi="Arial"/>
          <w:sz w:val="24"/>
          <w:szCs w:val="24"/>
        </w:rPr>
        <w:t xml:space="preserve">- выращивание фруктов и ягод;</w:t>
      </w:r>
    </w:p>
    <w:p>
      <w:pPr>
        <w:spacing w:after="120"/>
        <w:jc w:val="both"/>
      </w:pPr>
      <w:r>
        <w:rPr>
          <w:rFonts w:ascii="Arial" w:cs="Arial" w:eastAsia="Arial" w:hAnsi="Arial"/>
          <w:sz w:val="24"/>
          <w:szCs w:val="24"/>
        </w:rPr>
        <w:t xml:space="preserve">- развитие интенсивного лесоводства;</w:t>
      </w:r>
    </w:p>
    <w:p>
      <w:pPr>
        <w:spacing w:after="120"/>
        <w:jc w:val="both"/>
      </w:pPr>
      <w:r>
        <w:rPr>
          <w:rFonts w:ascii="Arial" w:cs="Arial" w:eastAsia="Arial" w:hAnsi="Arial"/>
          <w:sz w:val="24"/>
          <w:szCs w:val="24"/>
        </w:rPr>
        <w:t xml:space="preserve">- развитие системы капельного орошения.</w:t>
      </w:r>
    </w:p>
    <w:p>
      <w:pPr>
        <w:spacing w:after="120"/>
        <w:jc w:val="both"/>
      </w:pPr>
      <w:r>
        <w:rPr>
          <w:rFonts w:ascii="Arial" w:cs="Arial" w:eastAsia="Arial" w:hAnsi="Arial"/>
          <w:sz w:val="24"/>
          <w:szCs w:val="24"/>
        </w:rPr>
        <w:t xml:space="preserve">Хозяйствующие субъекты, занимающиеся растениеводством, для получения кредита в рамках настоящего Проекта в обязательном порядке должны иметь в наличии собственную или арендованную землю сельскохозяйственного назначения и документ, удостоверяющий наличие такой земли (государственный акт, свидетельство, договор аренды, договор купли-продажи и др.).</w:t>
      </w:r>
    </w:p>
    <w:p>
      <w:pPr>
        <w:spacing w:after="120"/>
        <w:jc w:val="both"/>
      </w:pPr>
      <w:r>
        <w:rPr>
          <w:rFonts w:ascii="Arial" w:cs="Arial" w:eastAsia="Arial" w:hAnsi="Arial"/>
          <w:sz w:val="24"/>
          <w:szCs w:val="24"/>
        </w:rPr>
        <w:t xml:space="preserve">Ограничения по максимальной сумме кредита для хозяйствующих субъектов отрасли «Растениеводство» не установлены.</w:t>
      </w:r>
    </w:p>
    <w:p>
      <w:pPr>
        <w:spacing w:after="120"/>
        <w:jc w:val="both"/>
      </w:pPr>
      <w:r>
        <w:rPr>
          <w:rFonts w:ascii="Arial" w:cs="Arial" w:eastAsia="Arial" w:hAnsi="Arial"/>
          <w:sz w:val="24"/>
          <w:szCs w:val="24"/>
        </w:rPr>
        <w:t xml:space="preserve">Хозяйствующие субъекты отрасли «Растениеводство», ввиду специфики и сезонности отрасли, могут получать кредиты вне очереди.</w:t>
      </w:r>
    </w:p>
    <w:p>
      <w:pPr>
        <w:spacing w:after="120"/>
        <w:jc w:val="both"/>
      </w:pPr>
      <w:r>
        <w:rPr>
          <w:rFonts w:ascii="Arial" w:cs="Arial" w:eastAsia="Arial" w:hAnsi="Arial"/>
          <w:sz w:val="24"/>
          <w:szCs w:val="24"/>
        </w:rPr>
        <w:t xml:space="preserve">Приоритетным направлением в данной отрасли является финансирование производства экспортных сельскохозяйственных культур, а также ведения тепличных хозяйств и финансирование проектов по внедрению системы капельного орошения.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Дополнительные условия для хозяйствующих субъектов отрасли «Переработка сельскохозяйственной продукции»</w:t>
      </w:r>
    </w:p>
    <w:p>
      <w:pPr>
        <w:spacing w:after="120"/>
        <w:jc w:val="both"/>
      </w:pPr>
      <w:r>
        <w:rPr>
          <w:rFonts w:ascii="Arial" w:cs="Arial" w:eastAsia="Arial" w:hAnsi="Arial"/>
          <w:sz w:val="24"/>
          <w:szCs w:val="24"/>
        </w:rPr>
        <w:t xml:space="preserve">Средства, направляемые для данной отрасли, должны составлять не менее 25 процентов общей суммы финансирования.</w:t>
      </w:r>
    </w:p>
    <w:p>
      <w:pPr>
        <w:spacing w:after="120"/>
        <w:jc w:val="both"/>
      </w:pPr>
      <w:r>
        <w:rPr>
          <w:rFonts w:ascii="Arial" w:cs="Arial" w:eastAsia="Arial" w:hAnsi="Arial"/>
          <w:sz w:val="24"/>
          <w:szCs w:val="24"/>
        </w:rPr>
        <w:t xml:space="preserve">К данной отрасли относятся:</w:t>
      </w:r>
    </w:p>
    <w:p>
      <w:pPr>
        <w:spacing w:after="120"/>
        <w:jc w:val="both"/>
      </w:pPr>
      <w:r>
        <w:rPr>
          <w:rFonts w:ascii="Arial" w:cs="Arial" w:eastAsia="Arial" w:hAnsi="Arial"/>
          <w:sz w:val="24"/>
          <w:szCs w:val="24"/>
        </w:rPr>
        <w:t xml:space="preserve">- переработка сельскохозяйственной продукции (зерновые, бобовые, мясо, шкура, шерсть, молоко крупного и мелкого рогатого скота и т.д.);</w:t>
      </w:r>
    </w:p>
    <w:p>
      <w:pPr>
        <w:spacing w:after="120"/>
        <w:jc w:val="both"/>
      </w:pPr>
      <w:r>
        <w:rPr>
          <w:rFonts w:ascii="Arial" w:cs="Arial" w:eastAsia="Arial" w:hAnsi="Arial"/>
          <w:sz w:val="24"/>
          <w:szCs w:val="24"/>
        </w:rPr>
        <w:t xml:space="preserve">- переработка и консервирование рыбы и рыбных продуктов;</w:t>
      </w:r>
    </w:p>
    <w:p>
      <w:pPr>
        <w:spacing w:after="120"/>
        <w:jc w:val="both"/>
      </w:pPr>
      <w:r>
        <w:rPr>
          <w:rFonts w:ascii="Arial" w:cs="Arial" w:eastAsia="Arial" w:hAnsi="Arial"/>
          <w:sz w:val="24"/>
          <w:szCs w:val="24"/>
        </w:rPr>
        <w:t xml:space="preserve">- переработка и консервирование фруктов, овощей и ягод;</w:t>
      </w:r>
    </w:p>
    <w:p>
      <w:pPr>
        <w:spacing w:after="120"/>
        <w:jc w:val="both"/>
      </w:pPr>
      <w:r>
        <w:rPr>
          <w:rFonts w:ascii="Arial" w:cs="Arial" w:eastAsia="Arial" w:hAnsi="Arial"/>
          <w:sz w:val="24"/>
          <w:szCs w:val="24"/>
        </w:rPr>
        <w:t xml:space="preserve">- производство растительных и животных масел и жиров;</w:t>
      </w:r>
    </w:p>
    <w:p>
      <w:pPr>
        <w:spacing w:after="120"/>
        <w:jc w:val="both"/>
      </w:pPr>
      <w:r>
        <w:rPr>
          <w:rFonts w:ascii="Arial" w:cs="Arial" w:eastAsia="Arial" w:hAnsi="Arial"/>
          <w:sz w:val="24"/>
          <w:szCs w:val="24"/>
        </w:rPr>
        <w:t xml:space="preserve">- производство кормов для сельскохозяйственных животных;</w:t>
      </w:r>
    </w:p>
    <w:p>
      <w:pPr>
        <w:spacing w:after="120"/>
        <w:jc w:val="both"/>
      </w:pPr>
      <w:r>
        <w:rPr>
          <w:rFonts w:ascii="Arial" w:cs="Arial" w:eastAsia="Arial" w:hAnsi="Arial"/>
          <w:sz w:val="24"/>
          <w:szCs w:val="24"/>
        </w:rPr>
        <w:t xml:space="preserve">- производство пищевых продуктов из сельскохозяйственной продукции (в том числе из вторичного сырья сельскохозяйственной продукции), за исключением производства минеральных вод;</w:t>
      </w:r>
    </w:p>
    <w:p>
      <w:pPr>
        <w:spacing w:after="120"/>
        <w:jc w:val="both"/>
      </w:pPr>
      <w:r>
        <w:rPr>
          <w:rFonts w:ascii="Arial" w:cs="Arial" w:eastAsia="Arial" w:hAnsi="Arial"/>
          <w:sz w:val="24"/>
          <w:szCs w:val="24"/>
        </w:rPr>
        <w:t xml:space="preserve">- производство удобрений и азотных соединений для сельского хозяйства;</w:t>
      </w:r>
    </w:p>
    <w:p>
      <w:pPr>
        <w:spacing w:after="120"/>
        <w:jc w:val="both"/>
      </w:pPr>
      <w:r>
        <w:rPr>
          <w:rFonts w:ascii="Arial" w:cs="Arial" w:eastAsia="Arial" w:hAnsi="Arial"/>
          <w:sz w:val="24"/>
          <w:szCs w:val="24"/>
        </w:rPr>
        <w:t xml:space="preserve">- упаковка, складирование и хранение сельскохозяйственной продукции, включая овощехранилища;</w:t>
      </w:r>
    </w:p>
    <w:p>
      <w:pPr>
        <w:spacing w:after="120"/>
        <w:jc w:val="both"/>
      </w:pPr>
      <w:r>
        <w:rPr>
          <w:rFonts w:ascii="Arial" w:cs="Arial" w:eastAsia="Arial" w:hAnsi="Arial"/>
          <w:sz w:val="24"/>
          <w:szCs w:val="24"/>
        </w:rPr>
        <w:t xml:space="preserve">- убойные цеха для сельскохозяйственного скота и птицы;</w:t>
      </w:r>
    </w:p>
    <w:p>
      <w:pPr>
        <w:spacing w:after="120"/>
        <w:jc w:val="both"/>
      </w:pPr>
      <w:r>
        <w:rPr>
          <w:rFonts w:ascii="Arial" w:cs="Arial" w:eastAsia="Arial" w:hAnsi="Arial"/>
          <w:sz w:val="24"/>
          <w:szCs w:val="24"/>
        </w:rPr>
        <w:t xml:space="preserve">- изготовление войлока и войлочных изделий;</w:t>
      </w:r>
    </w:p>
    <w:p>
      <w:pPr>
        <w:spacing w:after="120"/>
        <w:jc w:val="both"/>
      </w:pPr>
      <w:r>
        <w:rPr>
          <w:rFonts w:ascii="Arial" w:cs="Arial" w:eastAsia="Arial" w:hAnsi="Arial"/>
          <w:sz w:val="24"/>
          <w:szCs w:val="24"/>
        </w:rPr>
        <w:t xml:space="preserve">- логистические центры для организации закупок, хранения, перевозки и сбыта сельскохозяйственной продукции.</w:t>
      </w:r>
    </w:p>
    <w:p>
      <w:pPr>
        <w:spacing w:after="120"/>
        <w:jc w:val="both"/>
      </w:pPr>
      <w:r>
        <w:rPr>
          <w:rFonts w:ascii="Arial" w:cs="Arial" w:eastAsia="Arial" w:hAnsi="Arial"/>
          <w:sz w:val="24"/>
          <w:szCs w:val="24"/>
        </w:rPr>
        <w:t xml:space="preserve">Первая категория субъектов включает в себя предприятия с наличием от 20 рабочих мест и в рамках настоящего Проекта может получить кредит в размере, не превышающем 150 (сто пятьдесят) млн сомов на одного заемщика.</w:t>
      </w:r>
    </w:p>
    <w:p>
      <w:pPr>
        <w:spacing w:after="120"/>
        <w:jc w:val="both"/>
      </w:pPr>
      <w:r>
        <w:rPr>
          <w:rFonts w:ascii="Arial" w:cs="Arial" w:eastAsia="Arial" w:hAnsi="Arial"/>
          <w:sz w:val="24"/>
          <w:szCs w:val="24"/>
        </w:rPr>
        <w:t xml:space="preserve">Вторая категория субъектов включает в себя предприятия с наличием до 20 рабочих мест и в рамках настоящего Проекта может получить кредит в размере, не превышающем 10 (десять) млн сомов на одного заемщика.</w:t>
      </w:r>
    </w:p>
    <w:p>
      <w:pPr>
        <w:spacing w:after="120"/>
        <w:jc w:val="both"/>
      </w:pPr>
      <w:r>
        <w:rPr>
          <w:rFonts w:ascii="Arial" w:cs="Arial" w:eastAsia="Arial" w:hAnsi="Arial"/>
          <w:sz w:val="24"/>
          <w:szCs w:val="24"/>
        </w:rPr>
        <w:t xml:space="preserve">В рамках настоящего Проекта могут финансироваться все этапы производственного цикла, включая покупку основных и оборотных средств, а также финансирование фондов оплаты труда.</w:t>
      </w:r>
    </w:p>
    <w:p>
      <w:pPr>
        <w:spacing w:after="120"/>
        <w:jc w:val="both"/>
      </w:pPr>
      <w:r>
        <w:rPr>
          <w:rFonts w:ascii="Arial" w:cs="Arial" w:eastAsia="Arial" w:hAnsi="Arial"/>
          <w:sz w:val="24"/>
          <w:szCs w:val="24"/>
        </w:rPr>
        <w:t xml:space="preserve">Хозяйствующие субъекты данной отрасли должны быть резидентами Кыргызской Республики и надлежащим образом зарегистрированы во всех государственных органах Кыргызской Республики, включая налоговую службу и Социальный фонд Кыргызской Республики.</w:t>
      </w:r>
    </w:p>
    <w:p>
      <w:pPr>
        <w:spacing w:after="120"/>
        <w:jc w:val="both"/>
      </w:pPr>
      <w:r>
        <w:rPr>
          <w:rFonts w:ascii="Arial" w:cs="Arial" w:eastAsia="Arial" w:hAnsi="Arial"/>
          <w:sz w:val="24"/>
          <w:szCs w:val="24"/>
        </w:rPr>
        <w:t xml:space="preserve">Приоритетом в данной отрасли являются хозяйствующие субъекты:</w:t>
      </w:r>
    </w:p>
    <w:p>
      <w:pPr>
        <w:spacing w:after="120"/>
        <w:jc w:val="both"/>
      </w:pPr>
      <w:r>
        <w:rPr>
          <w:rFonts w:ascii="Arial" w:cs="Arial" w:eastAsia="Arial" w:hAnsi="Arial"/>
          <w:sz w:val="24"/>
          <w:szCs w:val="24"/>
        </w:rPr>
        <w:t xml:space="preserve">- сельскохозяйственная продукция которых ориентирована на экспорт;</w:t>
      </w:r>
    </w:p>
    <w:p>
      <w:pPr>
        <w:spacing w:after="120"/>
        <w:jc w:val="both"/>
      </w:pPr>
      <w:r>
        <w:rPr>
          <w:rFonts w:ascii="Arial" w:cs="Arial" w:eastAsia="Arial" w:hAnsi="Arial"/>
          <w:sz w:val="24"/>
          <w:szCs w:val="24"/>
        </w:rPr>
        <w:t xml:space="preserve">- заключившие договоры (контракты) с местными производителями на поставку сельскохозяйственной продукции (сырья).</w:t>
      </w:r>
    </w:p>
    <w:p>
      <w:pPr>
        <w:spacing w:after="120"/>
        <w:jc w:val="both"/>
      </w:pPr>
      <w:r>
        <w:rPr>
          <w:rFonts w:ascii="Arial" w:cs="Arial" w:eastAsia="Arial" w:hAnsi="Arial"/>
          <w:sz w:val="24"/>
          <w:szCs w:val="24"/>
        </w:rPr>
        <w:t xml:space="preserve">Допускается получение перерабатывающими предприятиями параллельного финансирования в рамках настоящего Проекта, в случае наличия финансирования от Российско-Кыргызского Фонда развития.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Описание реализации Проекта</w:t>
      </w:r>
    </w:p>
    <w:p>
      <w:pPr>
        <w:spacing w:after="120"/>
        <w:jc w:val="both"/>
      </w:pPr>
      <w:r>
        <w:rPr>
          <w:rFonts w:ascii="Arial" w:cs="Arial" w:eastAsia="Arial" w:hAnsi="Arial"/>
          <w:sz w:val="24"/>
          <w:szCs w:val="24"/>
        </w:rPr>
        <w:t xml:space="preserve">Коммерческие банки и небанковские финансово-кредитные организации, изъявившие желание участвовать в Проекте, в 10-дневный срок после вступления в силу настоящего постановления должны подать в Министерство финансов Кыргызской Республики заявку на участие в реализации Проекта, с обязательным указанием предлагаемой ставки субсидирования и объема кредитования, с разбивкой по областям республики, при этом ставка субсидирования не должна превышать 7,49 процента годовых.</w:t>
      </w:r>
    </w:p>
    <w:p>
      <w:pPr>
        <w:spacing w:after="120"/>
        <w:jc w:val="both"/>
      </w:pPr>
      <w:r>
        <w:rPr>
          <w:rFonts w:ascii="Arial" w:cs="Arial" w:eastAsia="Arial" w:hAnsi="Arial"/>
          <w:sz w:val="24"/>
          <w:szCs w:val="24"/>
        </w:rPr>
        <w:t xml:space="preserve">В целях надлежащего информирования населения о реализации Проекта, коммерческие банки и небанковские финансово-кредитные организации, участвующие в его реализации, должны опубликовать в средствах массовой информации, на информационных стендах и официальных сайтах коммерческих банков и небанковских финансово-кредитных организаций информацию об условиях кредитования, а также о периоде/времени, с которого начинается прием заявок на получение кредита по данному Проекту.</w:t>
      </w:r>
    </w:p>
    <w:p>
      <w:pPr>
        <w:spacing w:after="120"/>
        <w:jc w:val="both"/>
      </w:pPr>
      <w:r>
        <w:rPr>
          <w:rFonts w:ascii="Arial" w:cs="Arial" w:eastAsia="Arial" w:hAnsi="Arial"/>
          <w:sz w:val="24"/>
          <w:szCs w:val="24"/>
        </w:rPr>
        <w:t xml:space="preserve">Для получения субсидий в рамках Проекта коммерческие банки и небанковские финансово-кредитные организации ежемесячно, до 10 числа, представляют в Министерство финансов Кыргызской Республики заявку на субсидирование, с указанием фактической суммы кредитования за прошедший месяц.</w:t>
      </w:r>
    </w:p>
    <w:p>
      <w:pPr>
        <w:spacing w:after="120"/>
        <w:jc w:val="both"/>
      </w:pPr>
      <w:r>
        <w:rPr>
          <w:rFonts w:ascii="Arial" w:cs="Arial" w:eastAsia="Arial" w:hAnsi="Arial"/>
          <w:sz w:val="24"/>
          <w:szCs w:val="24"/>
        </w:rPr>
        <w:t xml:space="preserve">Министерство финансов Кыргызской Республики производит расчет суммы субсидий согласно расчетным коэффициентам и готовит финансовый план на соответствующий месяц для перечисления коммерческим банки и небанковским финансово-кредитным организациям транша субсидий.</w:t>
      </w:r>
    </w:p>
    <w:p>
      <w:pPr>
        <w:spacing w:after="120"/>
        <w:jc w:val="both"/>
      </w:pPr>
      <w:r>
        <w:rPr>
          <w:rFonts w:ascii="Arial" w:cs="Arial" w:eastAsia="Arial" w:hAnsi="Arial"/>
          <w:sz w:val="24"/>
          <w:szCs w:val="24"/>
        </w:rPr>
        <w:t xml:space="preserve">Транши субсидий переводятся на расчетные счета коммерческих банков и финансово-кредитных организаций Министерством финансов Кыргызской Республики из средств республиканского бюджета, в соответствии с внутренними актами Министерства финансов Кыргызской Республики, до окончания соответствующего месяца.</w:t>
      </w:r>
    </w:p>
    <w:p>
      <w:pPr>
        <w:spacing w:after="120"/>
        <w:jc w:val="both"/>
      </w:pPr>
      <w:r>
        <w:rPr>
          <w:rFonts w:ascii="Arial" w:cs="Arial" w:eastAsia="Arial" w:hAnsi="Arial"/>
          <w:sz w:val="24"/>
          <w:szCs w:val="24"/>
        </w:rPr>
        <w:t xml:space="preserve">Надзор за деятельностью коммерческих банков и небанковских финансово-кредитных организаций осуществляется Национальным банком Кыргызской Республики в соответствии с банковским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Расчет субсидий</w:t>
      </w:r>
    </w:p>
    <w:p>
      <w:pPr>
        <w:spacing w:after="120"/>
        <w:jc w:val="both"/>
      </w:pPr>
      <w:r>
        <w:rPr>
          <w:rFonts w:ascii="Arial" w:cs="Arial" w:eastAsia="Arial" w:hAnsi="Arial"/>
          <w:sz w:val="24"/>
          <w:szCs w:val="24"/>
        </w:rPr>
        <w:t xml:space="preserve">Для покрытия расходов коммерческих банков и небанковских финансово-кредитных организаций при предоставлении льготных кредитов Правительством Кыргызской Республики принимаются следующие расчетные коэффициенты субсидирования от ежемесячного объема кредитования коммерческих банков/ небанковских финансово-кредитных организаций:</w:t>
      </w:r>
    </w:p>
    <w:p>
      <w:pPr>
        <w:spacing w:after="120"/>
        <w:jc w:val="both"/>
      </w:pPr>
      <w:r>
        <w:rPr>
          <w:rFonts w:ascii="Arial" w:cs="Arial" w:eastAsia="Arial" w:hAnsi="Arial"/>
          <w:sz w:val="24"/>
          <w:szCs w:val="24"/>
        </w:rPr>
        <w:t xml:space="preserve">- ставка субсидирования составляет 7,49 процента годовых, независимо от размера процентной ставки;</w:t>
      </w:r>
    </w:p>
    <w:p>
      <w:pPr>
        <w:spacing w:after="120"/>
        <w:jc w:val="both"/>
      </w:pPr>
      <w:r>
        <w:rPr>
          <w:rFonts w:ascii="Arial" w:cs="Arial" w:eastAsia="Arial" w:hAnsi="Arial"/>
          <w:sz w:val="24"/>
          <w:szCs w:val="24"/>
        </w:rPr>
        <w:t xml:space="preserve">- для кредитов, выдаваемых сроком на 60 месяцев, расчетный коэффициент субсидирования составляет 20,91. Из них часть субсидий перечисляется в 2019 году по расчетному коэффициенту 6,75, часть – в 2020 году по расчетному коэффициенту 6,46, часть – в 2021 году по расчетному коэффициенту 4,23, часть – в 2022 году по расчетному коэффициенту 2,57 и часть – в 2023 году по расчетному коэффициенту 0,90;</w:t>
      </w:r>
    </w:p>
    <w:p>
      <w:pPr>
        <w:spacing w:after="120"/>
        <w:jc w:val="both"/>
      </w:pPr>
      <w:r>
        <w:rPr>
          <w:rFonts w:ascii="Arial" w:cs="Arial" w:eastAsia="Arial" w:hAnsi="Arial"/>
          <w:sz w:val="24"/>
          <w:szCs w:val="24"/>
        </w:rPr>
        <w:t xml:space="preserve">- для кредитов, выдаваемых сроком на 48 месяцев, расчетный коэффициент субсидирования составляет 17,17. Из них часть субсидий перечисляется в 2019 году по расчетному коэффициенту 6,72, часть – в 2020 году по расчетному коэффициенту 5,99, часть – в 2021 году по расчетному коэффициенту 3,30 и часть – в 2022 году по расчетному коэффициенту 1,16;</w:t>
      </w:r>
    </w:p>
    <w:p>
      <w:pPr>
        <w:spacing w:after="120"/>
        <w:jc w:val="both"/>
      </w:pPr>
      <w:r>
        <w:rPr>
          <w:rFonts w:ascii="Arial" w:cs="Arial" w:eastAsia="Arial" w:hAnsi="Arial"/>
          <w:sz w:val="24"/>
          <w:szCs w:val="24"/>
        </w:rPr>
        <w:t xml:space="preserve">- для кредитов, выдаваемых сроком на 36 месяцев, расчетный коэффициент субсидирования составляет 13,42. Из них часть субсидий перечисляется в 2019 году по расчетному коэффициенту 6,66, часть – в 2020 году по расчетному коэффициенту 5,14 и часть – в 2021 году по расчетному коэффициенту 1,62;</w:t>
      </w:r>
    </w:p>
    <w:p>
      <w:pPr>
        <w:spacing w:after="120"/>
        <w:jc w:val="both"/>
      </w:pPr>
      <w:r>
        <w:rPr>
          <w:rFonts w:ascii="Arial" w:cs="Arial" w:eastAsia="Arial" w:hAnsi="Arial"/>
          <w:sz w:val="24"/>
          <w:szCs w:val="24"/>
        </w:rPr>
        <w:t xml:space="preserve">- для кредитов, выдаваемых сроком на 24 месяца, расчетный коэффициент субсидирования составляет 9,68. Из них часть субсидий перечисляется в 2019 году по расчетному коэффициенту 6,52, часть – в 2020 году по расчетному коэффициенту 3,16;</w:t>
      </w:r>
    </w:p>
    <w:p>
      <w:pPr>
        <w:spacing w:after="120"/>
        <w:jc w:val="both"/>
      </w:pPr>
      <w:r>
        <w:rPr>
          <w:rFonts w:ascii="Arial" w:cs="Arial" w:eastAsia="Arial" w:hAnsi="Arial"/>
          <w:sz w:val="24"/>
          <w:szCs w:val="24"/>
        </w:rPr>
        <w:t xml:space="preserve">- для кредитов, выдаваемых сроком на 12 месяцев, субсидии перечисляются в 2019 году по расчетному коэффициенту субсидирования 5,93.</w:t>
      </w:r>
    </w:p>
    <w:p>
      <w:pPr>
        <w:spacing w:after="120"/>
        <w:jc w:val="both"/>
      </w:pPr>
      <w:r>
        <w:rPr>
          <w:rFonts w:ascii="Arial" w:cs="Arial" w:eastAsia="Arial" w:hAnsi="Arial"/>
          <w:sz w:val="24"/>
          <w:szCs w:val="24"/>
        </w:rPr>
        <w:t xml:space="preserve">Ежегодная сумма субсидирования рассчитывается Министерством финансов Кыргызской Республики. Коэффициент субсидирования может колебаться, в зависимости от срока выдачи кредита, однако ставка субсидирования, составляющая 7,49 процента, остается неизменной.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Перечисление субсидий</w:t>
      </w:r>
    </w:p>
    <w:p>
      <w:pPr>
        <w:spacing w:after="120"/>
        <w:jc w:val="both"/>
      </w:pPr>
      <w:r>
        <w:rPr>
          <w:rFonts w:ascii="Arial" w:cs="Arial" w:eastAsia="Arial" w:hAnsi="Arial"/>
          <w:sz w:val="24"/>
          <w:szCs w:val="24"/>
        </w:rPr>
        <w:t xml:space="preserve">Суммы субсидий, определяемые согласно расчетной формуле, перечисляются коммерческим банкам и небанковским финансово-кредитным организациям Министерством финансов Кыргызской Республики из средств республиканского бюджета Кыргызской Республики, пятью траншами, в том числе:</w:t>
      </w:r>
    </w:p>
    <w:p>
      <w:pPr>
        <w:spacing w:after="120"/>
        <w:jc w:val="both"/>
      </w:pPr>
      <w:r>
        <w:rPr>
          <w:rFonts w:ascii="Arial" w:cs="Arial" w:eastAsia="Arial" w:hAnsi="Arial"/>
          <w:sz w:val="24"/>
          <w:szCs w:val="24"/>
        </w:rPr>
        <w:t xml:space="preserve">- первый транш – на сумму фактически выданных коммерческими банками и небанковскими финансово-кредитными организации кредитных средств за прошедший месяц, субсидии перечисляются в конце каждого месяца;</w:t>
      </w:r>
    </w:p>
    <w:p>
      <w:pPr>
        <w:spacing w:after="120"/>
        <w:jc w:val="both"/>
      </w:pPr>
      <w:r>
        <w:rPr>
          <w:rFonts w:ascii="Arial" w:cs="Arial" w:eastAsia="Arial" w:hAnsi="Arial"/>
          <w:sz w:val="24"/>
          <w:szCs w:val="24"/>
        </w:rPr>
        <w:t xml:space="preserve">- второй транш – по истечении 365 дней с момента выдачи первого транша;</w:t>
      </w:r>
    </w:p>
    <w:p>
      <w:pPr>
        <w:spacing w:after="120"/>
        <w:jc w:val="both"/>
      </w:pPr>
      <w:r>
        <w:rPr>
          <w:rFonts w:ascii="Arial" w:cs="Arial" w:eastAsia="Arial" w:hAnsi="Arial"/>
          <w:sz w:val="24"/>
          <w:szCs w:val="24"/>
        </w:rPr>
        <w:t xml:space="preserve">- третий транш – по истечении 365 дней с момента выдачи второго транша;</w:t>
      </w:r>
    </w:p>
    <w:p>
      <w:pPr>
        <w:spacing w:after="120"/>
        <w:jc w:val="both"/>
      </w:pPr>
      <w:r>
        <w:rPr>
          <w:rFonts w:ascii="Arial" w:cs="Arial" w:eastAsia="Arial" w:hAnsi="Arial"/>
          <w:sz w:val="24"/>
          <w:szCs w:val="24"/>
        </w:rPr>
        <w:t xml:space="preserve">- четвертый транш – по истечении 365 дней с момента выдачи третьего транша;</w:t>
      </w:r>
    </w:p>
    <w:p>
      <w:pPr>
        <w:spacing w:after="120"/>
        <w:jc w:val="both"/>
      </w:pPr>
      <w:r>
        <w:rPr>
          <w:rFonts w:ascii="Arial" w:cs="Arial" w:eastAsia="Arial" w:hAnsi="Arial"/>
          <w:sz w:val="24"/>
          <w:szCs w:val="24"/>
        </w:rPr>
        <w:t xml:space="preserve">- пятый транш – по истечении 365 дней с момента выдачи четвертого транша.</w:t>
      </w:r>
    </w:p>
    <w:p>
      <w:pPr>
        <w:spacing w:after="120"/>
        <w:jc w:val="both"/>
      </w:pPr>
      <w:r>
        <w:rPr>
          <w:rFonts w:ascii="Arial" w:cs="Arial" w:eastAsia="Arial" w:hAnsi="Arial"/>
          <w:sz w:val="24"/>
          <w:szCs w:val="24"/>
        </w:rPr>
        <w:t xml:space="preserve">Коммерческие банки и небанковские финансово-кредитные организации, участвующие в реализации Проекта, обязаны по истечении года со дня получения первого транша, а также по истечении года со дня получения остальных траншей представлять в Министерство финансов Кыргызской Республики подробную информацию о досрочных погашениях, с указанием суммы, даты и количества заемщиков, производивших досрочные погашения. Для получения второго и последующих траншей субсидий, коммерческие банки и небанковские финансово-кредитные организации обязаны представлять заявки, за минусом досрочно погашенных кредитов. Коммерческие банки и небанковские финансово-кредитные организации несут ответственность за достоверность представляемой информации по выданным и досрочно погашенным кредитам.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Риски и угрозы</w:t>
      </w:r>
    </w:p>
    <w:p>
      <w:pPr>
        <w:spacing w:after="120"/>
        <w:jc w:val="both"/>
      </w:pPr>
      <w:r>
        <w:rPr>
          <w:rFonts w:ascii="Arial" w:cs="Arial" w:eastAsia="Arial" w:hAnsi="Arial"/>
          <w:sz w:val="24"/>
          <w:szCs w:val="24"/>
        </w:rPr>
        <w:t xml:space="preserve">При реализации Проекта имеется риск нецелевого использования средств получателями льготных кредитов.</w:t>
      </w:r>
    </w:p>
    <w:p>
      <w:pPr>
        <w:spacing w:after="120"/>
        <w:jc w:val="both"/>
      </w:pPr>
      <w:r>
        <w:rPr>
          <w:rFonts w:ascii="Arial" w:cs="Arial" w:eastAsia="Arial" w:hAnsi="Arial"/>
          <w:sz w:val="24"/>
          <w:szCs w:val="24"/>
        </w:rPr>
        <w:t xml:space="preserve">Минимизация указанного риска осуществляется коммерческими банками и небанковскими финансово-кредитными организациями в установленном порядке.</w:t>
      </w:r>
    </w:p>
    <w:p>
      <w:pPr>
        <w:spacing w:after="120"/>
        <w:jc w:val="both"/>
      </w:pPr>
      <w:r>
        <w:rPr>
          <w:rFonts w:ascii="Arial" w:cs="Arial" w:eastAsia="Arial" w:hAnsi="Arial"/>
          <w:sz w:val="24"/>
          <w:szCs w:val="24"/>
        </w:rPr>
        <w:t xml:space="preserve">При обнаружении факта нецелевого использования кредитных средств, коммерческие банки и небанковские финансово-кредитные организации должны составить соответствующий акт, требовать от заемщика досрочного погашения остатка неиспользованных кредитных средств и установить со дня получения кредита процентные ставки в размере 30 процентов годовых со дня получения кредита. В этом случае коммерческие банки и небанковские финансово-кредитные организации обязуются вернуть Министерству финансов Кыргызской Республики полученные средства субсидий.</w:t>
      </w:r>
    </w:p>
    <w:p>
      <w:pPr>
        <w:spacing w:after="120"/>
        <w:jc w:val="both"/>
      </w:pPr>
      <w:r>
        <w:rPr>
          <w:rFonts w:ascii="Arial" w:cs="Arial" w:eastAsia="Arial" w:hAnsi="Arial"/>
          <w:sz w:val="24"/>
          <w:szCs w:val="24"/>
        </w:rPr>
        <w:t xml:space="preserve">В целях минимизации риска нецелевого использования средств субсидий коммерческими банками и небанковскими финансово-кредитными организациями:</w:t>
      </w:r>
    </w:p>
    <w:p>
      <w:pPr>
        <w:spacing w:after="120"/>
        <w:jc w:val="both"/>
      </w:pPr>
      <w:r>
        <w:rPr>
          <w:rFonts w:ascii="Arial" w:cs="Arial" w:eastAsia="Arial" w:hAnsi="Arial"/>
          <w:sz w:val="24"/>
          <w:szCs w:val="24"/>
        </w:rPr>
        <w:t xml:space="preserve">- Национальный банк Кыргызской Республики в установленном порядке осуществляет надзор за деятельностью коммерческих банков и небанковских финансово-кредитных организаций на предмет целевого использования субсидий;</w:t>
      </w:r>
    </w:p>
    <w:p>
      <w:pPr>
        <w:spacing w:after="120"/>
        <w:jc w:val="both"/>
      </w:pPr>
      <w:r>
        <w:rPr>
          <w:rFonts w:ascii="Arial" w:cs="Arial" w:eastAsia="Arial" w:hAnsi="Arial"/>
          <w:sz w:val="24"/>
          <w:szCs w:val="24"/>
        </w:rPr>
        <w:t xml:space="preserve">- коммерческие банки и небанковские финансово-кредитные организации еженедельно представляют в Министерство финансов Кыргызской Республики отчеты об объемах размещенных кредитов согласно Проекту;</w:t>
      </w:r>
    </w:p>
    <w:p>
      <w:pPr>
        <w:spacing w:after="120"/>
        <w:jc w:val="both"/>
      </w:pPr>
      <w:r>
        <w:rPr>
          <w:rFonts w:ascii="Arial" w:cs="Arial" w:eastAsia="Arial" w:hAnsi="Arial"/>
          <w:sz w:val="24"/>
          <w:szCs w:val="24"/>
        </w:rPr>
        <w:t xml:space="preserve">- при обнаружении факта намеренного нецелевого использования коммерческими банками и небанковскими финансово-кредитными организациями средств субсидий, Министерство финансов Кыргызской Республики вправе в одностороннем порядке приостановить дальнейшее субсидирование и применить финансовые санкции путем начисления штрафа к траншу субсидии (со дня перечисления) по процентной ставке в размере 30 процентов годовых. Суммы начисленных штрафов и перечисленных траншей субсидий должны быть возвращены Министерству финансов Кыргызской Республики в течение 30 календарных дней со дня обнаружения факта нецелевого использования субсидий.</w:t>
      </w:r>
    </w:p>
    <w:p>
      <w:pPr>
        <w:spacing w:after="120"/>
        <w:jc w:val="both"/>
      </w:pPr>
      <w:r>
        <w:rPr>
          <w:rFonts w:ascii="Arial" w:cs="Arial" w:eastAsia="Arial" w:hAnsi="Arial"/>
          <w:sz w:val="24"/>
          <w:szCs w:val="24"/>
        </w:rPr>
        <w:t xml:space="preserve">В целях минимизации риска по субсидированию досрочно погашенных кредитов из республиканского бюджета в случае досрочного погашения заемщиками, Министерство финансов Кыргызской Республики предусматривает в соглашениях о сотрудничестве с коммерческими банками и небанковскими финансово-кредитными организациями механизм расчета, корректировки и возврата части полученных субсидий из республиканского бюджета по досрочно погашенным кредитам.</w:t>
      </w:r>
    </w:p>
    <w:p>
      <w:pPr>
        <w:spacing w:after="120"/>
        <w:jc w:val="both"/>
      </w:pPr>
      <w:r>
        <w:rPr>
          <w:rFonts w:ascii="Arial" w:cs="Arial" w:eastAsia="Arial" w:hAnsi="Arial"/>
          <w:sz w:val="24"/>
          <w:szCs w:val="24"/>
        </w:rPr>
        <w:t xml:space="preserve">Риск неполного исполнения обязательств со стороны Правительства Кыргызской Республики:</w:t>
      </w:r>
    </w:p>
    <w:p>
      <w:pPr>
        <w:spacing w:after="120"/>
        <w:jc w:val="both"/>
      </w:pPr>
      <w:r>
        <w:rPr>
          <w:rFonts w:ascii="Arial" w:cs="Arial" w:eastAsia="Arial" w:hAnsi="Arial"/>
          <w:sz w:val="24"/>
          <w:szCs w:val="24"/>
        </w:rPr>
        <w:t xml:space="preserve">- в рамках Проекта Министерство финансов Кыргызской Республики до окончания соответствующего месяца перечисляет суммы первого транша субсидий из республиканского бюджета на расчетные счета коммерческих банков и небанковских финансово-кредитных организаций согласно порядку перечисления субсидий;</w:t>
      </w:r>
    </w:p>
    <w:p>
      <w:pPr>
        <w:spacing w:after="120"/>
        <w:jc w:val="both"/>
      </w:pPr>
      <w:r>
        <w:rPr>
          <w:rFonts w:ascii="Arial" w:cs="Arial" w:eastAsia="Arial" w:hAnsi="Arial"/>
          <w:sz w:val="24"/>
          <w:szCs w:val="24"/>
        </w:rPr>
        <w:t xml:space="preserve">- средства для выплаты второго и последующих  траншей субсидий будут предусмотрены в проекте Закона Кыргызской Республики                           о республиканском бюджете Кыргызской Республики на соответствующие годы.</w:t>
      </w:r>
    </w:p>
    <w:p>
      <w:pPr>
        <w:spacing w:after="120"/>
        <w:jc w:val="both"/>
      </w:pPr>
      <w:r>
        <w:rPr>
          <w:rFonts w:ascii="Arial" w:cs="Arial" w:eastAsia="Arial" w:hAnsi="Arial"/>
          <w:sz w:val="24"/>
          <w:szCs w:val="24"/>
        </w:rPr>
        <w:t xml:space="preserve">Риск неполной выборки кредитных средств:</w:t>
      </w:r>
    </w:p>
    <w:p>
      <w:pPr>
        <w:spacing w:after="120"/>
        <w:jc w:val="both"/>
      </w:pPr>
      <w:r>
        <w:rPr>
          <w:rFonts w:ascii="Arial" w:cs="Arial" w:eastAsia="Arial" w:hAnsi="Arial"/>
          <w:sz w:val="24"/>
          <w:szCs w:val="24"/>
        </w:rPr>
        <w:t xml:space="preserve">- для максимального вовлечения в Проект коммерческих банков и небанковских финансово-кредитных организаций количество участников Проекта не ограничивается. Согласно Проекту, ограничивается только совокупный объем кредитования в пределах средств республиканского бюджета, предусмотренных для реализации Проекта;</w:t>
      </w:r>
    </w:p>
    <w:p>
      <w:pPr>
        <w:spacing w:after="120"/>
        <w:jc w:val="both"/>
      </w:pPr>
      <w:r>
        <w:rPr>
          <w:rFonts w:ascii="Arial" w:cs="Arial" w:eastAsia="Arial" w:hAnsi="Arial"/>
          <w:sz w:val="24"/>
          <w:szCs w:val="24"/>
        </w:rPr>
        <w:t xml:space="preserve">- коммерческие банки и небанковские финансово-кредитные организации вправе использовать механизмы группового кредитования членов фермерских, крестьянских хозяйств и кооперативов.</w:t>
      </w:r>
    </w:p>
    <w:p>
      <w:pPr>
        <w:spacing w:after="120"/>
        <w:jc w:val="both"/>
      </w:pPr>
      <w:r>
        <w:rPr>
          <w:rFonts w:ascii="Arial" w:cs="Arial" w:eastAsia="Arial" w:hAnsi="Arial"/>
          <w:sz w:val="24"/>
          <w:szCs w:val="24"/>
        </w:rPr>
        <w:t xml:space="preserve">Угроза природных катаклизмов:</w:t>
      </w:r>
    </w:p>
    <w:p>
      <w:pPr>
        <w:spacing w:after="120"/>
        <w:jc w:val="both"/>
      </w:pPr>
      <w:r>
        <w:rPr>
          <w:rFonts w:ascii="Arial" w:cs="Arial" w:eastAsia="Arial" w:hAnsi="Arial"/>
          <w:sz w:val="24"/>
          <w:szCs w:val="24"/>
        </w:rPr>
        <w:t xml:space="preserve">- при возникновении риска невозврата кредитов заемщиками, связанного с природными катаклизмами, коммерческие банки и небанковские финансово-кредитные организации самостоятельно принимают меры по его минимизации,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 Мониторинг целевого использования кредитных средств</w:t>
      </w:r>
    </w:p>
    <w:p>
      <w:pPr>
        <w:spacing w:after="120"/>
        <w:jc w:val="both"/>
      </w:pPr>
      <w:r>
        <w:rPr>
          <w:rFonts w:ascii="Arial" w:cs="Arial" w:eastAsia="Arial" w:hAnsi="Arial"/>
          <w:sz w:val="24"/>
          <w:szCs w:val="24"/>
        </w:rPr>
        <w:t xml:space="preserve">Мониторинг целевого использования кредитных средств будет осуществляться коммерческими банками и небанковскими финансово-кредитными организациями следующим образом:</w:t>
      </w:r>
    </w:p>
    <w:p>
      <w:pPr>
        <w:spacing w:after="120"/>
        <w:jc w:val="both"/>
      </w:pPr>
      <w:r>
        <w:rPr>
          <w:rFonts w:ascii="Arial" w:cs="Arial" w:eastAsia="Arial" w:hAnsi="Arial"/>
          <w:sz w:val="24"/>
          <w:szCs w:val="24"/>
        </w:rPr>
        <w:t xml:space="preserve">- в течение 2 месяцев с момента получения кредита заемщики должны представлять отчеты о целевом использовании кредитных средств, с приложением документального подтверждения (контракты/договоры, счета-фактуры и/или накладные, платежные документы об оплате, и другие) произведенных расходов по кредиту;</w:t>
      </w:r>
    </w:p>
    <w:p>
      <w:pPr>
        <w:spacing w:after="120"/>
        <w:jc w:val="both"/>
      </w:pPr>
      <w:r>
        <w:rPr>
          <w:rFonts w:ascii="Arial" w:cs="Arial" w:eastAsia="Arial" w:hAnsi="Arial"/>
          <w:sz w:val="24"/>
          <w:szCs w:val="24"/>
        </w:rPr>
        <w:t xml:space="preserve">- в течение 3 месяцев, следующих после получения отчета от заемщика о целевом использовании кредитных средств, уполномоченные сотрудники коммерческих банков/небанковских финансово-кредитных организаций, с выездом на место, будут осуществлять мониторинг, с оформлением отчета о результатах проверки. В случаях нецелевого использования кредита, должен быть составлен соответствующий акт и процентная ставка по данному кредиту должна быть повышена до 30 процентов годовых со дня выдачи кредита.</w:t>
      </w:r>
    </w:p>
    <w:p>
      <w:pPr>
        <w:spacing w:after="120"/>
        <w:jc w:val="both"/>
      </w:pPr>
      <w:r>
        <w:rPr>
          <w:rFonts w:ascii="Arial" w:cs="Arial" w:eastAsia="Arial" w:hAnsi="Arial"/>
          <w:sz w:val="24"/>
          <w:szCs w:val="24"/>
        </w:rPr>
        <w:t xml:space="preserve">Заемщики обязаны представить в коммерческие банки/небанковские финансово-кредитные организации следующие документы, подтверждающие целевое использование кредита:</w:t>
      </w:r>
    </w:p>
    <w:p>
      <w:pPr>
        <w:spacing w:after="120"/>
        <w:jc w:val="both"/>
      </w:pPr>
      <w:r>
        <w:rPr>
          <w:rFonts w:ascii="Arial" w:cs="Arial" w:eastAsia="Arial" w:hAnsi="Arial"/>
          <w:sz w:val="24"/>
          <w:szCs w:val="24"/>
        </w:rPr>
        <w:t xml:space="preserve">- копия контракта/договора купли-продажи скота или справка, подтверждающая покупку скота, с обязательной отметкой айыл окмоту о регистрации купленного скота в хозяйственной книге соответствующего айыл окмоту по месту проживания/регистрации заемщика;</w:t>
      </w:r>
    </w:p>
    <w:p>
      <w:pPr>
        <w:spacing w:after="120"/>
        <w:jc w:val="both"/>
      </w:pPr>
      <w:r>
        <w:rPr>
          <w:rFonts w:ascii="Arial" w:cs="Arial" w:eastAsia="Arial" w:hAnsi="Arial"/>
          <w:sz w:val="24"/>
          <w:szCs w:val="24"/>
        </w:rPr>
        <w:t xml:space="preserve">- копии документов, подтверждающих экспорт продукции сельского хозяйства (для хозяйствующих субъектов, занимающихся экспортом продукции);</w:t>
      </w:r>
    </w:p>
    <w:p>
      <w:pPr>
        <w:spacing w:after="120"/>
        <w:jc w:val="both"/>
      </w:pPr>
      <w:r>
        <w:rPr>
          <w:rFonts w:ascii="Arial" w:cs="Arial" w:eastAsia="Arial" w:hAnsi="Arial"/>
          <w:sz w:val="24"/>
          <w:szCs w:val="24"/>
        </w:rPr>
        <w:t xml:space="preserve">- копии контрактов/договоров и/или счетов-фактур, накладных или подтверждающих платежных документов об оплате за приобретенные семена, минеральные удобрения, горюче-смазочные материалы (далее – ГСМ), а также услуги (должны быть представлены вместе с отчетом об использовании средств).</w:t>
      </w:r>
    </w:p>
    <w:p>
      <w:pPr>
        <w:spacing w:after="120"/>
        <w:jc w:val="both"/>
      </w:pPr>
      <w:r>
        <w:rPr>
          <w:rFonts w:ascii="Arial" w:cs="Arial" w:eastAsia="Arial" w:hAnsi="Arial"/>
          <w:sz w:val="24"/>
          <w:szCs w:val="24"/>
        </w:rPr>
        <w:t xml:space="preserve">В случае:</w:t>
      </w:r>
    </w:p>
    <w:p>
      <w:pPr>
        <w:spacing w:after="120"/>
        <w:jc w:val="both"/>
      </w:pPr>
      <w:r>
        <w:rPr>
          <w:rFonts w:ascii="Arial" w:cs="Arial" w:eastAsia="Arial" w:hAnsi="Arial"/>
          <w:sz w:val="24"/>
          <w:szCs w:val="24"/>
        </w:rPr>
        <w:t xml:space="preserve">- разрыва сроков между получением кредита и оптимальным периодом проведения агротехнических мероприятий, допускается принятие оправдательных документов, с датой оформления не ранее двух месяцев до дня выдачи кредита;</w:t>
      </w:r>
    </w:p>
    <w:p>
      <w:pPr>
        <w:spacing w:after="120"/>
        <w:jc w:val="both"/>
      </w:pPr>
      <w:r>
        <w:rPr>
          <w:rFonts w:ascii="Arial" w:cs="Arial" w:eastAsia="Arial" w:hAnsi="Arial"/>
          <w:sz w:val="24"/>
          <w:szCs w:val="24"/>
        </w:rPr>
        <w:t xml:space="preserve">- совершения сделок купли-продажи семян, минеральных удобрений, ГСМ, а также сделок по оказанию услуг техники между лицами, имеющими статус физического лица, оправдательным документом может являться контракт/договор купли-продажи или контракт/договор на оказание услуг, заверенный главой айыл окмоту, с обязательным приложением расписки продавца о получении денежных средств, с указанием в расписке паспортных данных, количества, сортов реализованных семян или другой продукции/услуги;</w:t>
      </w:r>
    </w:p>
    <w:p>
      <w:pPr>
        <w:spacing w:after="120"/>
        <w:jc w:val="both"/>
      </w:pPr>
      <w:r>
        <w:rPr>
          <w:rFonts w:ascii="Arial" w:cs="Arial" w:eastAsia="Arial" w:hAnsi="Arial"/>
          <w:sz w:val="24"/>
          <w:szCs w:val="24"/>
        </w:rPr>
        <w:t xml:space="preserve">- совместного приобретения ГСМ жителями отдаленных сел через уполномоченное лицо, в отчете об использовании средств каждого такого кредита указывается, что ГСМ приобретены совместно, и прилагаются копии всех платежных документов, полученных от автозаправочных станций.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 Оценка эффективности Проекта</w:t>
      </w:r>
    </w:p>
    <w:p>
      <w:pPr>
        <w:spacing w:after="120"/>
        <w:jc w:val="both"/>
      </w:pPr>
      <w:r>
        <w:rPr>
          <w:rFonts w:ascii="Arial" w:cs="Arial" w:eastAsia="Arial" w:hAnsi="Arial"/>
          <w:sz w:val="24"/>
          <w:szCs w:val="24"/>
        </w:rPr>
        <w:t xml:space="preserve">В целях оценки эффективности использования кредитных средств коммерческие банки и небанковские финансово-кредитные организации по результатам реализации Проекта на конец года представляют в Министерство сельского хозяйства, пищевой промышленности и мелиорации Кыргызской Республики и Министерство экономики Кыргызской Республики агрегированную информацию о целевом использовании заемщиками кредита по следующим основным показателям (до и после выдачи кредита):</w:t>
      </w:r>
    </w:p>
    <w:p>
      <w:pPr>
        <w:spacing w:after="120"/>
        <w:jc w:val="both"/>
      </w:pPr>
      <w:r>
        <w:rPr>
          <w:rFonts w:ascii="Arial" w:cs="Arial" w:eastAsia="Arial" w:hAnsi="Arial"/>
          <w:sz w:val="24"/>
          <w:szCs w:val="24"/>
        </w:rPr>
        <w:t xml:space="preserve">- количество созданных рабочих мест в результате реализации Проекта;</w:t>
      </w:r>
    </w:p>
    <w:p>
      <w:pPr>
        <w:spacing w:after="120"/>
        <w:jc w:val="both"/>
      </w:pPr>
      <w:r>
        <w:rPr>
          <w:rFonts w:ascii="Arial" w:cs="Arial" w:eastAsia="Arial" w:hAnsi="Arial"/>
          <w:sz w:val="24"/>
          <w:szCs w:val="24"/>
        </w:rPr>
        <w:t xml:space="preserve">- количество производств, созданных в результате реализации Проекта, в том числе сельскохозяйственных кооперативов и обрабатывающих (перерабатывающих) предприятий;</w:t>
      </w:r>
    </w:p>
    <w:p>
      <w:pPr>
        <w:spacing w:after="120"/>
        <w:jc w:val="both"/>
      </w:pPr>
      <w:r>
        <w:rPr>
          <w:rFonts w:ascii="Arial" w:cs="Arial" w:eastAsia="Arial" w:hAnsi="Arial"/>
          <w:sz w:val="24"/>
          <w:szCs w:val="24"/>
        </w:rPr>
        <w:t xml:space="preserve">- количество успешно действующих предприятий в результате реализации Проекта и объем их производства;</w:t>
      </w:r>
    </w:p>
    <w:p>
      <w:pPr>
        <w:spacing w:after="120"/>
        <w:jc w:val="both"/>
      </w:pPr>
      <w:r>
        <w:rPr>
          <w:rFonts w:ascii="Arial" w:cs="Arial" w:eastAsia="Arial" w:hAnsi="Arial"/>
          <w:sz w:val="24"/>
          <w:szCs w:val="24"/>
        </w:rPr>
        <w:t xml:space="preserve">- количество реанимированных предприятий, которые ранее простаивали, и объем их производства;</w:t>
      </w:r>
    </w:p>
    <w:p>
      <w:pPr>
        <w:spacing w:after="120"/>
        <w:jc w:val="both"/>
      </w:pPr>
      <w:r>
        <w:rPr>
          <w:rFonts w:ascii="Arial" w:cs="Arial" w:eastAsia="Arial" w:hAnsi="Arial"/>
          <w:sz w:val="24"/>
          <w:szCs w:val="24"/>
        </w:rPr>
        <w:t xml:space="preserve">- общий объем производства и продаж;</w:t>
      </w:r>
    </w:p>
    <w:p>
      <w:pPr>
        <w:spacing w:after="120"/>
        <w:jc w:val="both"/>
      </w:pPr>
      <w:r>
        <w:rPr>
          <w:rFonts w:ascii="Arial" w:cs="Arial" w:eastAsia="Arial" w:hAnsi="Arial"/>
          <w:sz w:val="24"/>
          <w:szCs w:val="24"/>
        </w:rPr>
        <w:t xml:space="preserve">- общий объем экспорта;</w:t>
      </w:r>
    </w:p>
    <w:p>
      <w:pPr>
        <w:spacing w:after="120"/>
        <w:jc w:val="both"/>
      </w:pPr>
      <w:r>
        <w:rPr>
          <w:rFonts w:ascii="Arial" w:cs="Arial" w:eastAsia="Arial" w:hAnsi="Arial"/>
          <w:sz w:val="24"/>
          <w:szCs w:val="24"/>
        </w:rPr>
        <w:t xml:space="preserve">- количество, вид и сумма финансовых средств, использованных для приобретения оборудования в результате реализации Проекта;</w:t>
      </w:r>
    </w:p>
    <w:p>
      <w:pPr>
        <w:spacing w:after="120"/>
        <w:jc w:val="both"/>
      </w:pPr>
      <w:r>
        <w:rPr>
          <w:rFonts w:ascii="Arial" w:cs="Arial" w:eastAsia="Arial" w:hAnsi="Arial"/>
          <w:sz w:val="24"/>
          <w:szCs w:val="24"/>
        </w:rPr>
        <w:t xml:space="preserve">- объем сельскохозяйственной продукции, поставленной перерабатывающим предприятиям в рамках Проекта.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zq7m_zkedrx1janoxsha">
      <w:r>
        <w:rPr>
          <w:rFonts w:ascii="Arial" w:cs="Arial" w:eastAsia="Arial" w:hAnsi="Arial"/>
          <w:color w:val="132D3F"/>
          <w:sz w:val="16"/>
          <w:szCs w:val="16"/>
          <w:u w:val="single"/>
        </w:rPr>
        <w:t xml:space="preserve">dalil.kg/document/13477</w:t>
      </w:r>
    </w:hyperlink>
  </w:p>
  <w:p>
    <w:pPr>
      <w:spacing w:after="0" w:before="40"/>
      <w:jc w:val="center"/>
    </w:pPr>
    <w:hyperlink w:history="1" r:id="rIdq6dtot4uygfin4ce7xmd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nekp8pipvfavi84ncboe" Type="http://schemas.openxmlformats.org/officeDocument/2006/relationships/hyperlink" Target="https://dalil.kg/document/1347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zq7m_zkedrx1janoxsha" Type="http://schemas.openxmlformats.org/officeDocument/2006/relationships/hyperlink" Target="https://dalil.kg/document/13477" TargetMode="External"/><Relationship Id="rIdq6dtot4uygfin4ce7xmd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2026-09-24T18:07:05.581Z</dcterms:created>
  <dcterms:modified xsi:type="dcterms:W3CDTF">2026-09-24T18:07:05.581Z</dcterms:modified>
</cp:coreProperties>
</file>

<file path=docProps/custom.xml><?xml version="1.0" encoding="utf-8"?>
<Properties xmlns="http://schemas.openxmlformats.org/officeDocument/2006/custom-properties" xmlns:vt="http://schemas.openxmlformats.org/officeDocument/2006/docPropsVTypes"/>
</file>