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m2uctuljdmjzfrfc0k9jn">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марта 2019 года № 125-07/3-2</w:t>
      </w:r>
    </w:p>
    <w:p>
      <w:pPr>
        <w:spacing w:after="120"/>
        <w:jc w:val="both"/>
      </w:pPr>
      <w:r>
        <w:rPr>
          <w:rFonts w:ascii="Arial" w:cs="Arial" w:eastAsia="Arial" w:hAnsi="Arial"/>
          <w:sz w:val="28"/>
          <w:szCs w:val="28"/>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2019 год,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h9o8-_r1n8y7bn0c1zxd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статьями </w:t>
      </w:r>
      <w:r>
        <w:rPr>
          <w:rFonts w:ascii="Arial" w:cs="Arial" w:eastAsia="Arial" w:hAnsi="Arial"/>
          <w:sz w:val="24"/>
          <w:szCs w:val="24"/>
        </w:rPr>
        <w:t xml:space="preserve">17</w:t>
      </w:r>
      <w:r>
        <w:rPr>
          <w:rFonts w:ascii="Arial" w:cs="Arial" w:eastAsia="Arial" w:hAnsi="Arial"/>
          <w:sz w:val="24"/>
          <w:szCs w:val="24"/>
        </w:rPr>
        <w:t xml:space="preserve"> и </w:t>
      </w:r>
      <w:r>
        <w:rPr>
          <w:rFonts w:ascii="Arial" w:cs="Arial" w:eastAsia="Arial" w:hAnsi="Arial"/>
          <w:sz w:val="24"/>
          <w:szCs w:val="24"/>
        </w:rPr>
        <w:t xml:space="preserve">46</w:t>
      </w:r>
      <w:r>
        <w:rPr>
          <w:rFonts w:ascii="Arial" w:cs="Arial" w:eastAsia="Arial" w:hAnsi="Arial"/>
          <w:sz w:val="24"/>
          <w:szCs w:val="24"/>
        </w:rPr>
        <w:t xml:space="preserve"> </w:t>
      </w:r>
      <w:hyperlink w:history="1" r:id="rIdhuoj4z_skosrtnxw8slo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Правительство Кыргызской Республики и Национальный банк Кыргызской Республики</w:t>
      </w:r>
    </w:p>
    <w:p>
      <w:pPr>
        <w:spacing w:after="60"/>
        <w:ind w:firstLine="567"/>
        <w:jc w:val="center"/>
      </w:pPr>
      <w:r>
        <w:rPr>
          <w:rFonts w:ascii="Arial" w:cs="Arial" w:eastAsia="Arial" w:hAnsi="Arial"/>
          <w:sz w:val="24"/>
          <w:szCs w:val="24"/>
        </w:rPr>
        <w:t xml:space="preserve">ПОСТАНОВЛЯЮТ:</w:t>
      </w:r>
    </w:p>
    <w:p>
      <w:pPr>
        <w:spacing w:after="60"/>
        <w:ind w:firstLine="567"/>
        <w:jc w:val="both"/>
      </w:pPr>
      <w:r>
        <w:rPr>
          <w:rFonts w:ascii="Arial" w:cs="Arial" w:eastAsia="Arial" w:hAnsi="Arial"/>
          <w:sz w:val="24"/>
          <w:szCs w:val="24"/>
        </w:rPr>
        <w:t xml:space="preserve">1. Одобрить прилагаемое </w:t>
      </w:r>
      <w:hyperlink w:history="1" r:id="rIdew8tjfsh2jyhereel394r">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2019 год.</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марта 2019 года N 23</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 Кыргызской Республики</w:t>
      </w:r>
    </w:p>
    <w:p>
      <w:pPr>
        <w:tabs>
          <w:tab w:val="right" w:pos="10178"/>
        </w:tabs>
        <w:spacing w:after="120"/>
      </w:pPr>
      <w:r>
        <w:rPr>
          <w:rFonts w:ascii="Arial" w:cs="Arial" w:eastAsia="Arial" w:hAnsi="Arial"/>
          <w:b/>
          <w:bCs/>
          <w:sz w:val="24"/>
          <w:szCs w:val="24"/>
        </w:rPr>
        <w:t xml:space="preserve">М.Абылгазиев</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и Национального банка Кыргызской Республики
 от 15 марта 2019 года № 125-07/3-2</w:t>
      </w:r>
    </w:p>
    <w:p>
      <w:pPr>
        <w:spacing w:after="400" w:before="400"/>
        <w:jc w:val="center"/>
      </w:pPr>
      <w:r>
        <w:rPr>
          <w:rFonts w:ascii="Arial" w:cs="Arial" w:eastAsia="Arial" w:hAnsi="Arial"/>
          <w:b/>
          <w:bCs/>
          <w:sz w:val="32"/>
          <w:szCs w:val="32"/>
        </w:rPr>
        <w:t xml:space="preserve">СОВМЕСТНОЕ ЗАЯВЛЕНИЕ</w:t>
      </w:r>
      <w:r>
        <w:rPr>
          <w:rFonts w:ascii="Arial" w:cs="Arial" w:eastAsia="Arial" w:hAnsi="Arial"/>
          <w:b/>
          <w:bCs/>
          <w:sz w:val="32"/>
          <w:szCs w:val="32"/>
        </w:rPr>
        <w:t xml:space="preserve">
 Правительства Кыргызской Республики и Национального банка Кыргызской Республики об основных направлениях экономической политики на 2019 год</w:t>
      </w:r>
    </w:p>
    <w:p>
      <w:pPr>
        <w:spacing w:after="60"/>
        <w:ind w:firstLine="567"/>
        <w:jc w:val="both"/>
      </w:pPr>
      <w:r>
        <w:rPr>
          <w:rFonts w:ascii="Arial" w:cs="Arial" w:eastAsia="Arial" w:hAnsi="Arial"/>
          <w:sz w:val="24"/>
          <w:szCs w:val="24"/>
        </w:rPr>
        <w:t xml:space="preserve">Развитие национальной экономики в 2018 году происходило в условиях сохранения неоднозначной ситуации во внешней среде: сохранение геополитических рисков, нестабильность на финансовых рынках, "торговые войны", волатильность мировых цен на нефть и обменного курса доллара США. Данная ситуация оказала определенное воздействие, через вторичные каналы, на складывающиеся в 2018 году макроэкономические показатели страны.</w:t>
      </w:r>
    </w:p>
    <w:p>
      <w:pPr>
        <w:spacing w:after="60"/>
        <w:ind w:firstLine="567"/>
        <w:jc w:val="both"/>
      </w:pPr>
      <w:r>
        <w:rPr>
          <w:rFonts w:ascii="Arial" w:cs="Arial" w:eastAsia="Arial" w:hAnsi="Arial"/>
          <w:sz w:val="24"/>
          <w:szCs w:val="24"/>
        </w:rPr>
        <w:t xml:space="preserve">Действия Правительства Кыргызской Республики (далее - Правительство) и Национального банка Кыргызской Республики (далее - Национальный банк) были направлены на своевременную и качественную реализацию Плана мероприятий Правительства Кыргызской Республики на 2018 год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"Единство. Доверие. Созидание" (далее - Программа Правительства), утвержденного </w:t>
      </w:r>
      <w:hyperlink w:history="1" r:id="rIdpyy4wrfo8eejj3cbnk8t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2018 года № 413,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w:t>
      </w:r>
    </w:p>
    <w:p>
      <w:pPr>
        <w:spacing w:after="60"/>
        <w:ind w:firstLine="567"/>
        <w:jc w:val="both"/>
      </w:pPr>
      <w:r>
        <w:rPr>
          <w:rFonts w:ascii="Arial" w:cs="Arial" w:eastAsia="Arial" w:hAnsi="Arial"/>
          <w:sz w:val="24"/>
          <w:szCs w:val="24"/>
        </w:rPr>
        <w:t xml:space="preserve">Проводимые мероприятия и согласованная экономическая политика Правительства и Национального банка в 2018 году позволили обеспечить макроэкономическую и социальную стабильность в стране.</w:t>
      </w:r>
    </w:p>
    <w:p>
      <w:pPr>
        <w:spacing w:after="60"/>
        <w:ind w:firstLine="567"/>
        <w:jc w:val="both"/>
      </w:pPr>
      <w:r>
        <w:rPr>
          <w:rFonts w:ascii="Arial" w:cs="Arial" w:eastAsia="Arial" w:hAnsi="Arial"/>
          <w:sz w:val="24"/>
          <w:szCs w:val="24"/>
        </w:rPr>
        <w:t xml:space="preserve">С начала года экономический рост демонстрировал нисходящий тренд, однако в сентябре отмечен его переход в положительную зону, в частности, в промышленном секторе к концу 2018 года прирост составил 5,5%, что привело к ускорению экономического роста. По итогам 2018 года экономический прирост составил 3,5%, объем валового внутреннего продукта (далее - ВВП) сложился в сумме 557,1 млрд. сомов. Без учета предприятий по разработке месторождения Кумтор, темп реального прироста ВВП составил 3,5%. Наблюдался низкий уровень инфляции, который в январе-декабре 2018 года сложился на уровне 1,5% (к соответствующему периоду 2017 года).</w:t>
      </w:r>
    </w:p>
    <w:p>
      <w:pPr>
        <w:spacing w:after="60"/>
        <w:ind w:firstLine="567"/>
        <w:jc w:val="both"/>
      </w:pPr>
      <w:r>
        <w:rPr>
          <w:rFonts w:ascii="Arial" w:cs="Arial" w:eastAsia="Arial" w:hAnsi="Arial"/>
          <w:sz w:val="24"/>
          <w:szCs w:val="24"/>
        </w:rPr>
        <w:t xml:space="preserve">Дефицит государственного бюджета за январь-декабрь 2018 года составил 1,1% к ВВП. По состоянию на 31 декабря 2018 года, уровень государственного долга к ВВП составил 56,0%.</w:t>
      </w:r>
    </w:p>
    <w:p>
      <w:pPr>
        <w:spacing w:after="60"/>
        <w:ind w:firstLine="567"/>
        <w:jc w:val="both"/>
      </w:pPr>
      <w:r>
        <w:rPr>
          <w:rFonts w:ascii="Arial" w:cs="Arial" w:eastAsia="Arial" w:hAnsi="Arial"/>
          <w:sz w:val="24"/>
          <w:szCs w:val="24"/>
        </w:rPr>
        <w:t xml:space="preserve">Главные цели политики Правительства и Национального банка на 2019 год: обеспечение макроэкономической и финансовой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Политика будет осуществляться через реализацию Программы Правительства,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31 октября 2018 года № 221, и мер, заложенных в них, направленных на укрепление экономики, усиление потенциала и развитие производства, а также улучшение качества и благосостояния народа.</w:t>
      </w:r>
    </w:p>
    <w:p>
      <w:pPr>
        <w:spacing w:after="60"/>
        <w:ind w:firstLine="567"/>
        <w:jc w:val="both"/>
      </w:pPr>
      <w:r>
        <w:rPr>
          <w:rFonts w:ascii="Arial" w:cs="Arial" w:eastAsia="Arial" w:hAnsi="Arial"/>
          <w:sz w:val="24"/>
          <w:szCs w:val="24"/>
        </w:rPr>
        <w:t xml:space="preserve">На экономику Кыргызской Республики в прогнозируемом периоде будут оказывать влияние как внешние факторы (замедление роста мировой экономики и в странах основных-торговых партнерах; продолжение повышение ставки ФРС (как минимум 2 раза); волатильность мировых цен на сырьевые товары, включая нефть; продолжение "торговых войн", волатильность обменного курса основных стратегических партнеров; продолжение нестабильности на финансовых рынках), так и внутренние (риск возможных неблагоприятных природно-климатических условий; медленное преодоление барьеров в приграничной и внешней торговле; умеренный рост денежных переводов; постепенное восстановление потребительского спроса).</w:t>
      </w:r>
    </w:p>
    <w:p>
      <w:pPr>
        <w:spacing w:after="60"/>
        <w:ind w:firstLine="567"/>
        <w:jc w:val="both"/>
      </w:pPr>
      <w:r>
        <w:rPr>
          <w:rFonts w:ascii="Arial" w:cs="Arial" w:eastAsia="Arial" w:hAnsi="Arial"/>
          <w:sz w:val="24"/>
          <w:szCs w:val="24"/>
        </w:rPr>
        <w:t xml:space="preserve">В случае вышеотмеченных рисков, экономическая политика в 2019 году будет направлена на смягчение их влияния и сглаживание последствий возможных внешних/внутренних шоков для поддержания макроэкономической и социальной стабильности в стране.</w:t>
      </w:r>
    </w:p>
    <w:p>
      <w:pPr>
        <w:spacing w:after="60"/>
        <w:ind w:firstLine="567"/>
        <w:jc w:val="both"/>
      </w:pPr>
      <w:r>
        <w:rPr>
          <w:rFonts w:ascii="Arial" w:cs="Arial" w:eastAsia="Arial" w:hAnsi="Arial"/>
          <w:sz w:val="24"/>
          <w:szCs w:val="24"/>
        </w:rPr>
        <w:t xml:space="preserve">Основными направлениями экономической политики в 2019 году будут:</w:t>
      </w:r>
    </w:p>
    <w:p>
      <w:pPr>
        <w:spacing w:after="60"/>
        <w:ind w:firstLine="567"/>
        <w:jc w:val="both"/>
      </w:pPr>
      <w:r>
        <w:rPr>
          <w:rFonts w:ascii="Arial" w:cs="Arial" w:eastAsia="Arial" w:hAnsi="Arial"/>
          <w:sz w:val="24"/>
          <w:szCs w:val="24"/>
        </w:rPr>
        <w:t xml:space="preserve">1) сохранение макроэкономической стабильности в стране через осуществление согласованных мер денежно-кредитной и бюджетно-налоговой политик;</w:t>
      </w:r>
    </w:p>
    <w:p>
      <w:pPr>
        <w:spacing w:after="60"/>
        <w:ind w:firstLine="567"/>
        <w:jc w:val="both"/>
      </w:pPr>
      <w:r>
        <w:rPr>
          <w:rFonts w:ascii="Arial" w:cs="Arial" w:eastAsia="Arial" w:hAnsi="Arial"/>
          <w:sz w:val="24"/>
          <w:szCs w:val="24"/>
        </w:rPr>
        <w:t xml:space="preserve">2) дальнейшее развитие финансового рынка;</w:t>
      </w:r>
    </w:p>
    <w:p>
      <w:pPr>
        <w:spacing w:after="60"/>
        <w:ind w:firstLine="567"/>
        <w:jc w:val="both"/>
      </w:pPr>
      <w:r>
        <w:rPr>
          <w:rFonts w:ascii="Arial" w:cs="Arial" w:eastAsia="Arial" w:hAnsi="Arial"/>
          <w:sz w:val="24"/>
          <w:szCs w:val="24"/>
        </w:rPr>
        <w:t xml:space="preserve">3) обеспечение и установление баланса в развитии регионов.</w:t>
      </w:r>
    </w:p>
    <w:p>
      <w:pPr>
        <w:spacing w:after="60" w:before="200"/>
        <w:ind w:firstLine="567"/>
        <w:jc w:val="left"/>
      </w:pPr>
      <w:r>
        <w:rPr>
          <w:rFonts w:ascii="Arial" w:cs="Arial" w:eastAsia="Arial" w:hAnsi="Arial"/>
          <w:b/>
          <w:bCs/>
          <w:sz w:val="24"/>
          <w:szCs w:val="24"/>
        </w:rPr>
        <w:t xml:space="preserve">Сохранение макроэкономической стабильности в стране через осуществление согласованных мер денежно-кредитной и бюджетно-налоговой политик</w:t>
      </w:r>
    </w:p>
    <w:p>
      <w:pPr>
        <w:spacing w:after="60"/>
        <w:ind w:firstLine="567"/>
        <w:jc w:val="both"/>
      </w:pPr>
      <w:r>
        <w:rPr>
          <w:rFonts w:ascii="Arial" w:cs="Arial" w:eastAsia="Arial" w:hAnsi="Arial"/>
          <w:sz w:val="24"/>
          <w:szCs w:val="24"/>
        </w:rPr>
        <w:t xml:space="preserve">Политика Правительства и Национального банка будет направлена на достижение целевых ориентиров, заложенных в программных документах, по обеспечению устойчивого экономического роста и сдерживанию инфляции в пределах среднесрочных целевых ориентиров в 5,0-7,0%, которые будут достигаться через скоординированную денежно-кредитную и налогово-бюджетную политики.</w:t>
      </w:r>
    </w:p>
    <w:p>
      <w:pPr>
        <w:spacing w:after="60"/>
        <w:ind w:firstLine="567"/>
        <w:jc w:val="both"/>
      </w:pPr>
      <w:r>
        <w:rPr>
          <w:rFonts w:ascii="Arial" w:cs="Arial" w:eastAsia="Arial" w:hAnsi="Arial"/>
          <w:sz w:val="24"/>
          <w:szCs w:val="24"/>
        </w:rPr>
        <w:t xml:space="preserve">Экономическая политика государства будет ориентирована на сохранение экономического роста, создание базиса для устойчивого экономического развития, обеспечение занятости, стабильных доходов, создание производительных рабочих мест. Будут проводиться реформы для создания конкурентоспособной цифровой экономики через формирование благоприятных условий для предпринимателей, применение инновационных и природосберегающих технологий.</w:t>
      </w:r>
    </w:p>
    <w:p>
      <w:pPr>
        <w:spacing w:after="60"/>
        <w:ind w:firstLine="567"/>
        <w:jc w:val="both"/>
      </w:pPr>
      <w:r>
        <w:rPr>
          <w:rFonts w:ascii="Arial" w:cs="Arial" w:eastAsia="Arial" w:hAnsi="Arial"/>
          <w:sz w:val="24"/>
          <w:szCs w:val="24"/>
        </w:rPr>
        <w:t xml:space="preserve">Инфляционная среда в республике будет формироваться под влиянием широкого спектра факторов, как например: развитие внешней экономической среды, насыщенность внутреннего рынка продовольственными товарами, фискальная политика и другие.</w:t>
      </w:r>
    </w:p>
    <w:p>
      <w:pPr>
        <w:spacing w:after="60"/>
        <w:ind w:firstLine="567"/>
        <w:jc w:val="both"/>
      </w:pPr>
      <w:r>
        <w:rPr>
          <w:rFonts w:ascii="Arial" w:cs="Arial" w:eastAsia="Arial" w:hAnsi="Arial"/>
          <w:sz w:val="24"/>
          <w:szCs w:val="24"/>
        </w:rPr>
        <w:t xml:space="preserve">С учетом ожидаемого макроэкономического развития денежно-кредитная политика в 2019 году будет нацелена на формирование благоприятной инфляционной среды в стране.</w:t>
      </w:r>
    </w:p>
    <w:p>
      <w:pPr>
        <w:spacing w:after="60"/>
        <w:ind w:firstLine="567"/>
        <w:jc w:val="both"/>
      </w:pPr>
      <w:r>
        <w:rPr>
          <w:rFonts w:ascii="Arial" w:cs="Arial" w:eastAsia="Arial" w:hAnsi="Arial"/>
          <w:sz w:val="24"/>
          <w:szCs w:val="24"/>
        </w:rPr>
        <w:t xml:space="preserve">Бюджетно-налоговая политика остается важнейшим элементом при проведении эффективной денежно-кредитной политики. Бюджетная консолидация, закрепленная </w:t>
      </w:r>
      <w:hyperlink w:history="1" r:id="rIdyazhniwesnatdakfglc2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будет способствовать более эффективному управлению ликвидностью в экономике. Координация мер денежно-кредитной и бюджетно-налоговой политик будет реализована на практике посредством постоянного обмена информацией и согласования вопросов в рамках действующего Межведомственного координационного совета Министерства финансов Кыргызской Республики и Национального банка.</w:t>
      </w:r>
    </w:p>
    <w:p>
      <w:pPr>
        <w:spacing w:after="60"/>
        <w:ind w:firstLine="567"/>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как и прежде, продолжит следовать принятому Кыргызской Республикой режиму плавающего обменного курса. Формирование обменного курса будет основываться на рыночном механизме. Действия Национального банка на внутреннем валютном рынке будут направлены на сглаживание резких колебаний обменного курса. В случае усиления внешних рисков, которые будут оказывать влияние на внутренний валютный рынок, будут приняты необходимые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Концептуальные основы фискальной политики Кыргызской Республики будут предопределяться в рамках </w:t>
      </w:r>
      <w:hyperlink w:history="1" r:id="rIdz3p7vdhogzj807tow6ljd">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 утвержденной </w:t>
      </w:r>
      <w:hyperlink w:history="1" r:id="rIdyy9vvs5hnxxyjmnjseb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 а также заложенных мер в программных документах (Программа Правительства, Национальная стратегия развития Кыргызской Республики на 2018-2040 годы). Политика будет направлена на эффективную реализацию выработанных мер государственной политики и обеспечение сбалансированного роста экономики. Сохранится стимулирующая роль фискальной политики, направленной на диверсификацию, технологическое обновление и модернизацию производства, повышение конкурентоспособности экономики через фискальные инструменты (электронная фискализация, налоговые льготы, экспортные субсидии, кредитование и др.).</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 </w:t>
      </w:r>
      <w:hyperlink w:history="1" r:id="rId0_e_9rawoa_xrmzklqkyn">
        <w:r>
          <w:rPr>
            <w:rFonts w:ascii="Arial" w:cs="Arial" w:eastAsia="Arial" w:hAnsi="Arial"/>
            <w:color w:val="1D4ED8"/>
            <w:sz w:val="24"/>
            <w:szCs w:val="24"/>
            <w:u w:val="single"/>
          </w:rPr>
          <w:t xml:space="preserve">Бюджетной резолюцией</w:t>
        </w:r>
      </w:hyperlink>
      <w:r>
        <w:rPr>
          <w:rFonts w:ascii="Arial" w:cs="Arial" w:eastAsia="Arial" w:hAnsi="Arial"/>
          <w:sz w:val="24"/>
          <w:szCs w:val="24"/>
        </w:rPr>
        <w:t xml:space="preserve"> Кыргызской Республики на 2019 год и прогнозом на 2020-2021 годы, утвержденной </w:t>
      </w:r>
      <w:hyperlink w:history="1" r:id="rIdudx50tkgkuwxxngqdob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апреля 2018 года № 2397-VI, </w:t>
      </w:r>
      <w:hyperlink w:history="1" r:id="rIdz9ly3x2gy4n1q7qlub2fs">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 утвержденной </w:t>
      </w:r>
      <w:hyperlink w:history="1" r:id="rId47lfcxxudcps3qhjzqh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 696, Основными направлениями фискальной политики Кыргызской Республики на 2019-2021 годы, утвержденной </w:t>
      </w:r>
      <w:hyperlink w:history="1" r:id="rIdkz5wyvheeycgc1w2s36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397, и будет направлена на дальнейшую консолидацию, достижение бюджетной устойчивости и доли налоговых поступлений в составе доходов республиканского бюджета порядка 19,5% к ВВП.</w:t>
      </w:r>
    </w:p>
    <w:p>
      <w:pPr>
        <w:spacing w:after="60"/>
        <w:ind w:firstLine="567"/>
        <w:jc w:val="both"/>
      </w:pPr>
      <w:r>
        <w:rPr>
          <w:rFonts w:ascii="Arial" w:cs="Arial" w:eastAsia="Arial" w:hAnsi="Arial"/>
          <w:sz w:val="24"/>
          <w:szCs w:val="24"/>
        </w:rPr>
        <w:t xml:space="preserve">Политика в части управления государственным долгом Кыргызской Республики будет реализовываться в соответствии со </w:t>
      </w:r>
      <w:hyperlink w:history="1" r:id="rIddmnua0f3zhu5ebxvsdw02">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управления государственным долгом Кыргызской Республики на 2018-2020 годы, утвержденной </w:t>
      </w:r>
      <w:hyperlink w:history="1" r:id="rIdtzznfleezlc0yyo-1nu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2018 года № 79, и будет направлена на обеспечение потребностей Правительства в финансировании посредством заимствования с наименьшими затратами и разумным уровнем риска, развитие рынка государственных ценных бумаг Кыргызской Республики, поддержание устойчивости государственного долга. Действия Правительства в области управления государственным долгом будут направлены на снижение рисков, связанных с привлечением займов.</w:t>
      </w:r>
    </w:p>
    <w:p>
      <w:pPr>
        <w:spacing w:after="60"/>
        <w:ind w:firstLine="567"/>
        <w:jc w:val="both"/>
      </w:pPr>
      <w:r>
        <w:rPr>
          <w:rFonts w:ascii="Arial" w:cs="Arial" w:eastAsia="Arial" w:hAnsi="Arial"/>
          <w:sz w:val="24"/>
          <w:szCs w:val="24"/>
        </w:rPr>
        <w:t xml:space="preserve">Для стимулирования роста предпринимательской инициативы Правительство будет проводить либеральную фискальную политику, продолжится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 реализации </w:t>
      </w:r>
      <w:hyperlink w:history="1" r:id="rIdazl43zt8u70d8hqus0hhl">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государственно-частного партнерства в Кыргызской Республике на 2016-2021 годы, утвержденной </w:t>
      </w:r>
      <w:hyperlink w:history="1" r:id="rIdsgu8i2zilsoubsum_j4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Будет продолжена работа по интеграции в Евразийский экономический союз (далее - ЕАЭС). Основными направлениями деятельности будут дальнейшее наращивание экспорта в страны ЕАЭС, устранение технических и иных барьеров во взаимной торговле на евразийском пространстве, поэтапное движение к единому рынку электроэнергии, а также цифровое переформатирование отраслей экономики.</w:t>
      </w:r>
    </w:p>
    <w:p>
      <w:pPr>
        <w:spacing w:after="60"/>
        <w:ind w:firstLine="567"/>
        <w:jc w:val="both"/>
      </w:pPr>
      <w:r>
        <w:rPr>
          <w:rFonts w:ascii="Arial" w:cs="Arial" w:eastAsia="Arial" w:hAnsi="Arial"/>
          <w:sz w:val="24"/>
          <w:szCs w:val="24"/>
        </w:rPr>
        <w:t xml:space="preserve">В целях снижения технических барьеров в торговле будет продолжена работа по установлению единых обязательных требований в технических регламентах ЕАЭС, применению и исполнению технических регламентов ЕАЭС в Кыргызской Республике без изъятий, соответствию технического регулирования в рамках ЕАЭС уровню экономического и научно-технического развития.</w:t>
      </w:r>
    </w:p>
    <w:p>
      <w:pPr>
        <w:spacing w:after="60"/>
        <w:ind w:firstLine="567"/>
        <w:jc w:val="both"/>
      </w:pPr>
      <w:r>
        <w:rPr>
          <w:rFonts w:ascii="Arial" w:cs="Arial" w:eastAsia="Arial" w:hAnsi="Arial"/>
          <w:sz w:val="24"/>
          <w:szCs w:val="24"/>
        </w:rPr>
        <w:t xml:space="preserve">Создание условий для формирования, развития и защиты конкуренции, совершенствование институтов защиты конкуренции остаются одними из важных приоритетов государственной политики. В 2019 году основными направлениями антимонопольной и конкурентной политики будут: создание привлекательных и прозрачных условий для формирования, развития и защиты конкуренции на товарных рынках через обеспечение равных условий предпринимательской деятельности во всех отраслях экономики; достижение баланса интересов потребителей и субъектов естественных монополий, доступность реализуемых ими товаров для потребителей, а также эффективное функционирование субъектов естественных монополий; создание условий для обеспечения потребителей доступными государственными и муниципальными услугами; адвокатирование и пропаганду конкуренции. Будет активизирована работа Координационного совета по защите прав потребителей, совершенствованию </w:t>
      </w:r>
      <w:hyperlink w:history="1" r:id="rId7nazc8ptq3otwpfkjcs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потребителей", в частности, по защите прав потребителей при предоставлении государственных и муниципальных услуг, а также их переводу в электронный формат.</w:t>
      </w:r>
    </w:p>
    <w:p>
      <w:pPr>
        <w:spacing w:after="60"/>
        <w:ind w:firstLine="567"/>
        <w:jc w:val="both"/>
      </w:pPr>
      <w:r>
        <w:rPr>
          <w:rFonts w:ascii="Arial" w:cs="Arial" w:eastAsia="Arial" w:hAnsi="Arial"/>
          <w:sz w:val="24"/>
          <w:szCs w:val="24"/>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будет проведена реформа системы управления энергетическим сектором, в том числе по улучшению прозрачности в энергосекторе.</w:t>
      </w:r>
    </w:p>
    <w:p>
      <w:pPr>
        <w:spacing w:after="60"/>
        <w:ind w:firstLine="567"/>
        <w:jc w:val="both"/>
      </w:pPr>
      <w:r>
        <w:rPr>
          <w:rFonts w:ascii="Arial" w:cs="Arial" w:eastAsia="Arial" w:hAnsi="Arial"/>
          <w:sz w:val="24"/>
          <w:szCs w:val="24"/>
        </w:rPr>
        <w:t xml:space="preserve">Реализация вышеуказанных политик будет служить основой для дальнейшего развития секторов экономики.</w:t>
      </w:r>
    </w:p>
    <w:p>
      <w:pPr>
        <w:spacing w:after="60"/>
        <w:ind w:firstLine="567"/>
        <w:jc w:val="both"/>
      </w:pPr>
      <w:r>
        <w:rPr>
          <w:rFonts w:ascii="Arial" w:cs="Arial" w:eastAsia="Arial" w:hAnsi="Arial"/>
          <w:sz w:val="24"/>
          <w:szCs w:val="24"/>
        </w:rPr>
        <w:t xml:space="preserve">Агропромышленный сектор экономики будет оставаться ключевым сектором в обеспечении продовольственной безопасности страны и занятости населения, основной целью которого будет создание условий для роста производства, повышения качества продукции. Важными направлениями мер по развитию агропромышленного комплекса будут преодоление мелкотоварности производства, создание средних и крупных перерабатывающих комплексов, развитие логистики и сокращение роли посредников на товарных рынках.</w:t>
      </w:r>
    </w:p>
    <w:p>
      <w:pPr>
        <w:spacing w:after="60"/>
        <w:ind w:firstLine="567"/>
        <w:jc w:val="both"/>
      </w:pPr>
      <w:r>
        <w:rPr>
          <w:rFonts w:ascii="Arial" w:cs="Arial" w:eastAsia="Arial" w:hAnsi="Arial"/>
          <w:sz w:val="24"/>
          <w:szCs w:val="24"/>
        </w:rPr>
        <w:t xml:space="preserve">Развитие промышленного производства будет осуществляться в рамках реализации </w:t>
      </w:r>
      <w:hyperlink w:history="1" r:id="rIdum-zlncb9ojo0qez_-zlv">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2017-2021 годы и Плана мероприятий по ее реализации, утвержденных </w:t>
      </w:r>
      <w:hyperlink w:history="1" r:id="rIdbwkkhcix7kfmnuinmvj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2017 года № 191; Проекта "Финансирование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 в том числе системы менеджмента безопасности пищевой продукции, основанной на принципах анализа рисков и определения критических контрольных точек (ХАССП)", утвержденного </w:t>
      </w:r>
      <w:hyperlink w:history="1" r:id="rIdblxnmlscy9v2auipezk3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октября 2017 года № 669. Будет проводиться работа по диверсификации экспортно-ориентированной структуры промышленного производства, модернизации и расширению мощностей существующих отраслей, созданию устойчивых рабочих мест и стимулированию инвестиций.</w:t>
      </w:r>
    </w:p>
    <w:p>
      <w:pPr>
        <w:spacing w:after="60"/>
        <w:ind w:firstLine="567"/>
        <w:jc w:val="both"/>
      </w:pPr>
      <w:r>
        <w:rPr>
          <w:rFonts w:ascii="Arial" w:cs="Arial" w:eastAsia="Arial" w:hAnsi="Arial"/>
          <w:sz w:val="24"/>
          <w:szCs w:val="24"/>
        </w:rPr>
        <w:t xml:space="preserve">Строительный комплекс будет одной из системообразующих отраслей, обеспечивающей устойчивый рост национальной экономики. Государственная экономическая политика будет последовательно поддерживать строительный сектор для улучшения жилищных условий граждан, а также обновления основных фондов. Действия государства будут направлены на продолжение/завершение реализации крупных инвестиционных проектов в транспортной и энергетической отраслях, которые внесут основной вклад в развитие строительства. Приоритетными направлениями в строительстве будут: промышленное строительство; транспортное строительство; жилищно-гражданское строительство; гидротехническое строительство; гидромелиоративное строительство.</w:t>
      </w:r>
    </w:p>
    <w:p>
      <w:pPr>
        <w:spacing w:after="60"/>
        <w:ind w:firstLine="567"/>
        <w:jc w:val="both"/>
      </w:pPr>
      <w:r>
        <w:rPr>
          <w:rFonts w:ascii="Arial" w:cs="Arial" w:eastAsia="Arial" w:hAnsi="Arial"/>
          <w:sz w:val="24"/>
          <w:szCs w:val="24"/>
        </w:rPr>
        <w:t xml:space="preserve">В 2019 году будут продолжены работы по строительству и реабилитации водоснабжения и водоотведения, разработке генеральных планов развития населенных пунктов, строительству и капитальному ремонту объектов социально-культурного назначения, реализации программы в области сейсмической безопасности, совершенствованию системы управления архитектурными службами.</w:t>
      </w:r>
    </w:p>
    <w:p>
      <w:pPr>
        <w:spacing w:after="60"/>
        <w:ind w:firstLine="567"/>
        <w:jc w:val="both"/>
      </w:pPr>
      <w:r>
        <w:rPr>
          <w:rFonts w:ascii="Arial" w:cs="Arial" w:eastAsia="Arial" w:hAnsi="Arial"/>
          <w:sz w:val="24"/>
          <w:szCs w:val="24"/>
        </w:rPr>
        <w:t xml:space="preserve">Государственная политика в сфере туризма будет реализовываться в соответствии с </w:t>
      </w:r>
      <w:hyperlink w:history="1" r:id="rIdguz989rux-qxzmlmltp-z">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развития сферы туризма на 2019-2023 годы, утвержденной </w:t>
      </w:r>
      <w:hyperlink w:history="1" r:id="rId4o_g6rqsjryhvqjgifu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2019 года № 36. В целях повышения эффективности государственной политики будет продолжена работа уполномоченного органа по совершенствованию законодательной базы, обеспечению открытости и доступности страны для туристов из стран дальнего и ближнего зарубежья. Будет улучшена система сбора данных и мониторинга для целей развития отрасли. Для международных туристов будут максимально сокращены и оптимизированы процедуры при въезде и выезде в/из страну/ы.</w:t>
      </w:r>
    </w:p>
    <w:p>
      <w:pPr>
        <w:spacing w:after="60"/>
        <w:ind w:firstLine="567"/>
        <w:jc w:val="both"/>
      </w:pPr>
      <w:r>
        <w:rPr>
          <w:rFonts w:ascii="Arial" w:cs="Arial" w:eastAsia="Arial" w:hAnsi="Arial"/>
          <w:sz w:val="24"/>
          <w:szCs w:val="24"/>
        </w:rPr>
        <w:t xml:space="preserve">Будет продолжена работа по развитию цифровой инфраструктуры связи и коммуникаций, включая общедоступную сеть широкополосного доступа в Интернет, что позволит в будущем обеспечить долгосрочный импульс для всех отраслей экономики, институтов государственного управления и общественной активности, а также внедрение системы межведомственного электронного взаимодействия "Т</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к", которая будет способствовать упрощению процедур предоставления государственных услуг, повышению их эффективности, создаст единую точку доступа ко всем информационным ресурсам государственных органов.</w:t>
      </w:r>
    </w:p>
    <w:p>
      <w:pPr>
        <w:spacing w:after="60"/>
        <w:ind w:firstLine="567"/>
        <w:jc w:val="both"/>
      </w:pPr>
      <w:r>
        <w:rPr>
          <w:rFonts w:ascii="Arial" w:cs="Arial" w:eastAsia="Arial" w:hAnsi="Arial"/>
          <w:sz w:val="24"/>
          <w:szCs w:val="24"/>
        </w:rPr>
        <w:t xml:space="preserve">Внешнеэкономическая деятельность будет реализовываться в соответствии с </w:t>
      </w:r>
      <w:hyperlink w:history="1" r:id="rId9v9gkxy2oo5p1kdzrc6bm">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утвержденной </w:t>
      </w:r>
      <w:hyperlink w:history="1" r:id="rIdsiz2aikchaxuqs01jue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декабря 2018 года № 596, и направлена на создание благоприятных условий для роста и развития экспортного потенциала республики, выявление и поэтапное устранение имеющихся барьеров.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активизация инструментов экономической дипломатии для продвижения торгово-экономических интересов страны; продолжение работы по созданию инфраструктуры качества, отвечающей международным требованиям, и эффективной системы информационного сопровождения и стимулирования экспорта; реализация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экспортно-ориентированных предприятий.</w:t>
      </w:r>
    </w:p>
    <w:p>
      <w:pPr>
        <w:spacing w:after="60"/>
        <w:ind w:firstLine="567"/>
        <w:jc w:val="both"/>
      </w:pPr>
      <w:r>
        <w:rPr>
          <w:rFonts w:ascii="Arial" w:cs="Arial" w:eastAsia="Arial" w:hAnsi="Arial"/>
          <w:sz w:val="24"/>
          <w:szCs w:val="24"/>
        </w:rPr>
        <w:t xml:space="preserve">Политика социального развития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 Будет продолжена работа по обеспечению финансовой устойчивости пенсионной системы, повышению уровня жизни пенсионеров.</w:t>
      </w:r>
    </w:p>
    <w:p>
      <w:pPr>
        <w:spacing w:after="60" w:before="200"/>
        <w:ind w:firstLine="567"/>
        <w:jc w:val="left"/>
      </w:pPr>
      <w:r>
        <w:rPr>
          <w:rFonts w:ascii="Arial" w:cs="Arial" w:eastAsia="Arial" w:hAnsi="Arial"/>
          <w:b/>
          <w:bCs/>
          <w:sz w:val="24"/>
          <w:szCs w:val="24"/>
        </w:rPr>
        <w:t xml:space="preserve">Дальнейшее развитие финансового рынка</w:t>
      </w:r>
    </w:p>
    <w:p>
      <w:pPr>
        <w:spacing w:after="60"/>
        <w:ind w:firstLine="567"/>
        <w:jc w:val="both"/>
      </w:pPr>
      <w:r>
        <w:rPr>
          <w:rFonts w:ascii="Arial" w:cs="Arial" w:eastAsia="Arial" w:hAnsi="Arial"/>
          <w:sz w:val="24"/>
          <w:szCs w:val="24"/>
        </w:rPr>
        <w:t xml:space="preserve">Национальный банк в рамках проводимых работ по постепенному переходу на инфляционное таргетирование в среднесрочной перспективе сосредоточит свои усилия на совершенствовании процентного канала трансмиссионного механизма и повышении степени его влияния на инфляцию.</w:t>
      </w:r>
    </w:p>
    <w:p>
      <w:pPr>
        <w:spacing w:after="60"/>
        <w:ind w:firstLine="567"/>
        <w:jc w:val="both"/>
      </w:pPr>
      <w:r>
        <w:rPr>
          <w:rFonts w:ascii="Arial" w:cs="Arial" w:eastAsia="Arial" w:hAnsi="Arial"/>
          <w:sz w:val="24"/>
          <w:szCs w:val="24"/>
        </w:rPr>
        <w:t xml:space="preserve">Развитый финансовый рынок является неотъемлемым и важнейшим звеном в воздействии мер по денежно-кредитной политике на экономику. Продолжится работа по дальнейшей активизации и развитию межбанковского денежного рынка. В этой связи тактические меры денежно-кредитной политики будут направлены на создание условий для формирования такой динамики краткосрочных процентных ставок денежного рынка, которая будет способствовать их рыночному образованию и большей определенности.</w:t>
      </w:r>
    </w:p>
    <w:p>
      <w:pPr>
        <w:spacing w:after="60"/>
        <w:ind w:firstLine="567"/>
        <w:jc w:val="both"/>
      </w:pPr>
      <w:r>
        <w:rPr>
          <w:rFonts w:ascii="Arial" w:cs="Arial" w:eastAsia="Arial" w:hAnsi="Arial"/>
          <w:sz w:val="24"/>
          <w:szCs w:val="24"/>
        </w:rPr>
        <w:t xml:space="preserve">Денежное предложение в экономике будет осуществляться с учетом востребованности внутреннего производства, с тем чтобы сохранить равновесный уровень объема денег в экономике для стабильной инфляции и содействия экономическому росту в долгосрочной перспективе.</w:t>
      </w:r>
    </w:p>
    <w:p>
      <w:pPr>
        <w:spacing w:after="60"/>
        <w:ind w:firstLine="567"/>
        <w:jc w:val="both"/>
      </w:pPr>
      <w:r>
        <w:rPr>
          <w:rFonts w:ascii="Arial" w:cs="Arial" w:eastAsia="Arial" w:hAnsi="Arial"/>
          <w:sz w:val="24"/>
          <w:szCs w:val="24"/>
        </w:rPr>
        <w:t xml:space="preserve">Приоритетным направлением на 2019 год остается увеличение доли безналичных платежей и расчетов. В этом направлении будет продолжена работа по изучению и развитию новых платежных и финансовых технологий на рынке. Увеличение доли безналичных платежей окажет положительное влияние на трансмиссионный механизм денежно-кредитной политики.</w:t>
      </w:r>
    </w:p>
    <w:p>
      <w:pPr>
        <w:spacing w:after="60"/>
        <w:ind w:firstLine="567"/>
        <w:jc w:val="both"/>
      </w:pPr>
      <w:r>
        <w:rPr>
          <w:rFonts w:ascii="Arial" w:cs="Arial" w:eastAsia="Arial" w:hAnsi="Arial"/>
          <w:sz w:val="24"/>
          <w:szCs w:val="24"/>
        </w:rPr>
        <w:t xml:space="preserve">В 2019 году 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w:t>
      </w:r>
    </w:p>
    <w:p>
      <w:pPr>
        <w:spacing w:after="60" w:before="200"/>
        <w:ind w:firstLine="567"/>
        <w:jc w:val="left"/>
      </w:pPr>
      <w:r>
        <w:rPr>
          <w:rFonts w:ascii="Arial" w:cs="Arial" w:eastAsia="Arial" w:hAnsi="Arial"/>
          <w:b/>
          <w:bCs/>
          <w:sz w:val="24"/>
          <w:szCs w:val="24"/>
        </w:rPr>
        <w:t xml:space="preserve">Обеспечение и установление баланса в развитии регионов</w:t>
      </w:r>
    </w:p>
    <w:p>
      <w:pPr>
        <w:spacing w:after="60"/>
        <w:ind w:firstLine="567"/>
        <w:jc w:val="both"/>
      </w:pPr>
      <w:r>
        <w:rPr>
          <w:rFonts w:ascii="Arial" w:cs="Arial" w:eastAsia="Arial" w:hAnsi="Arial"/>
          <w:sz w:val="24"/>
          <w:szCs w:val="24"/>
        </w:rPr>
        <w:t xml:space="preserve">Развитие регионов будет направлено на улучшение благосостояния населения и экономического состояния регионов, создание конкурентоспособной инвестиционной и бизнес-среды. Приоритетом в реализации региональной политики станет развитие экономики на основе оптимального размещения производительных сил. Будет продолжена работа по реализации основных направлений </w:t>
      </w:r>
      <w:hyperlink w:history="1" r:id="rIdcbdx9p0hlsuhrigwu1ev6">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8xwik96rtfyzuow-z7u2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2017 года № 194. Началом реформ в развитии экономики станет разработка и реализация программ развития отобранных 20 опорных городов - точек роста, которые станут локомотивом развития регионов. Особое внимание будет уделено развитию приграничных территорий. Будут созданы условия в части инфраструктуры, услуг для удовлетворения потребностей граждан, проживающих на этих территориях.</w:t>
      </w:r>
    </w:p>
    <w:p>
      <w:pPr>
        <w:spacing w:after="60"/>
        <w:ind w:firstLine="567"/>
        <w:jc w:val="both"/>
      </w:pPr>
      <w:r>
        <w:rPr>
          <w:rFonts w:ascii="Arial" w:cs="Arial" w:eastAsia="Arial" w:hAnsi="Arial"/>
          <w:sz w:val="24"/>
          <w:szCs w:val="24"/>
        </w:rPr>
        <w:t xml:space="preserve">Таким образом, в 2019 году совместная экономическая политика Правительства и Национального банка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Инфляция будет удерживаться в пределах среднесрочного целевого ориентира 5,0-7,0%.</w:t>
      </w:r>
    </w:p>
    <w:p>
      <w:pPr>
        <w:spacing w:after="60"/>
        <w:ind w:firstLine="567"/>
        <w:jc w:val="both"/>
      </w:pPr>
      <w:r>
        <w:rPr>
          <w:rFonts w:ascii="Arial" w:cs="Arial" w:eastAsia="Arial" w:hAnsi="Arial"/>
          <w:sz w:val="24"/>
          <w:szCs w:val="24"/>
        </w:rPr>
        <w:t xml:space="preserve">Обозначенные меры политики будут носить сбалансированный характер, что будет содействовать обеспечению дальнейшего стабильного и поступательного роста экономики.</w:t>
      </w:r>
    </w:p>
    <w:p>
      <w:pPr>
        <w:spacing w:after="60"/>
        <w:ind w:firstLine="567"/>
        <w:jc w:val="both"/>
      </w:pPr>
      <w:r>
        <w:rPr>
          <w:rFonts w:ascii="Arial" w:cs="Arial" w:eastAsia="Arial" w:hAnsi="Arial"/>
          <w:sz w:val="24"/>
          <w:szCs w:val="24"/>
        </w:rPr>
        <w:t xml:space="preserve">Для эффективной реализации заявленных мер Правительством и Национальным банком будет проводиться постоянный мониторинг экономической ситуации в стране и тенденций развития мировой экономики. В случае появления дополнительных дисбалансов/рисков в мировой экономике и во внешнеэкономической среде, которые могут негативно отразиться на отечественной экономике, будут внесены соответствующие корректировки в принятую экономическую политику Кыргызской Республики на 2019 год и приниматься необходимые меры.</w:t>
      </w:r>
    </w:p>
    <w:p>
      <w:pPr>
        <w:spacing w:after="60"/>
        <w:ind w:firstLine="567"/>
        <w:jc w:val="both"/>
      </w:pPr>
      <w:r>
        <w:rPr>
          <w:rFonts w:ascii="Arial" w:cs="Arial" w:eastAsia="Arial" w:hAnsi="Arial"/>
          <w:sz w:val="24"/>
          <w:szCs w:val="24"/>
        </w:rPr>
        <w:t xml:space="preserve">В свою очередь, Правительство и Национальный банк рассчитывают на поддержку со стороны законодательной власти, всего делового сообщества в реализации основных направлений, предусмотренных в Совместном заявлении и программных документах.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_i8jinqariceeiflnyn">
      <w:r>
        <w:rPr>
          <w:rFonts w:ascii="Arial" w:cs="Arial" w:eastAsia="Arial" w:hAnsi="Arial"/>
          <w:color w:val="132D3F"/>
          <w:sz w:val="16"/>
          <w:szCs w:val="16"/>
          <w:u w:val="single"/>
        </w:rPr>
        <w:t xml:space="preserve">dalil.kg/document/13488</w:t>
      </w:r>
    </w:hyperlink>
  </w:p>
  <w:p>
    <w:pPr>
      <w:spacing w:after="0" w:before="40"/>
      <w:jc w:val="center"/>
    </w:pPr>
    <w:hyperlink w:history="1" r:id="rIdvlsg3dxfe7x1twguanq7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uctuljdmjzfrfc0k9jn" Type="http://schemas.openxmlformats.org/officeDocument/2006/relationships/hyperlink" Target="https://dalil.kg/document/230000286" TargetMode="External"/><Relationship Id="rIdh9o8-_r1n8y7bn0c1zxd8" Type="http://schemas.openxmlformats.org/officeDocument/2006/relationships/hyperlink" Target="https://dalil.kg/document/203685" TargetMode="External"/><Relationship Id="rIdhuoj4z_skosrtnxw8sloo" Type="http://schemas.openxmlformats.org/officeDocument/2006/relationships/hyperlink" Target="https://dalil.kg/document/111486" TargetMode="External"/><Relationship Id="rIdew8tjfsh2jyhereel394r" Type="http://schemas.openxmlformats.org/officeDocument/2006/relationships/hyperlink" Target="https://dalil.kg/document/13488#p1" TargetMode="External"/><Relationship Id="rIdpyy4wrfo8eejj3cbnk8t0" Type="http://schemas.openxmlformats.org/officeDocument/2006/relationships/hyperlink" Target="https://dalil.kg/document/12607" TargetMode="External"/><Relationship Id="rIdyazhniwesnatdakfglc2s" Type="http://schemas.openxmlformats.org/officeDocument/2006/relationships/hyperlink" Target="https://dalil.kg/document/111855" TargetMode="External"/><Relationship Id="rIdz3p7vdhogzj807tow6ljd" Type="http://schemas.openxmlformats.org/officeDocument/2006/relationships/hyperlink" Target="https://dalil.kg/document/97820#p1" TargetMode="External"/><Relationship Id="rIdyy9vvs5hnxxyjmnjsebcl" Type="http://schemas.openxmlformats.org/officeDocument/2006/relationships/hyperlink" Target="https://dalil.kg/document/97820" TargetMode="External"/><Relationship Id="rId0_e_9rawoa_xrmzklqkyn" Type="http://schemas.openxmlformats.org/officeDocument/2006/relationships/hyperlink" Target="https://dalil.kg/document/82222#p1" TargetMode="External"/><Relationship Id="rIdudx50tkgkuwxxngqdobym" Type="http://schemas.openxmlformats.org/officeDocument/2006/relationships/hyperlink" Target="https://dalil.kg/document/82222" TargetMode="External"/><Relationship Id="rIdz9ly3x2gy4n1q7qlub2fs" Type="http://schemas.openxmlformats.org/officeDocument/2006/relationships/hyperlink" Target="https://dalil.kg/document/98725#p1" TargetMode="External"/><Relationship Id="rId47lfcxxudcps3qhjzqhxp" Type="http://schemas.openxmlformats.org/officeDocument/2006/relationships/hyperlink" Target="https://dalil.kg/document/98725" TargetMode="External"/><Relationship Id="rIdkz5wyvheeycgc1w2s36sz" Type="http://schemas.openxmlformats.org/officeDocument/2006/relationships/hyperlink" Target="https://dalil.kg/document/12339" TargetMode="External"/><Relationship Id="rIddmnua0f3zhu5ebxvsdw02" Type="http://schemas.openxmlformats.org/officeDocument/2006/relationships/hyperlink" Target="https://dalil.kg/document/12009#p1" TargetMode="External"/><Relationship Id="rIdtzznfleezlc0yyo-1nufs" Type="http://schemas.openxmlformats.org/officeDocument/2006/relationships/hyperlink" Target="https://dalil.kg/document/12009" TargetMode="External"/><Relationship Id="rIdazl43zt8u70d8hqus0hhl" Type="http://schemas.openxmlformats.org/officeDocument/2006/relationships/hyperlink" Target="https://dalil.kg/document/98559#p1" TargetMode="External"/><Relationship Id="rIdsgu8i2zilsoubsum_j4ar" Type="http://schemas.openxmlformats.org/officeDocument/2006/relationships/hyperlink" Target="https://dalil.kg/document/98559" TargetMode="External"/><Relationship Id="rId7nazc8ptq3otwpfkjcsab" Type="http://schemas.openxmlformats.org/officeDocument/2006/relationships/hyperlink" Target="https://dalil.kg/document/590" TargetMode="External"/><Relationship Id="rIdum-zlncb9ojo0qez_-zlv" Type="http://schemas.openxmlformats.org/officeDocument/2006/relationships/hyperlink" Target="https://dalil.kg/document/99895" TargetMode="External"/><Relationship Id="rIdbwkkhcix7kfmnuinmvjgx" Type="http://schemas.openxmlformats.org/officeDocument/2006/relationships/hyperlink" Target="https://dalil.kg/document/99894" TargetMode="External"/><Relationship Id="rIdblxnmlscy9v2auipezk3i" Type="http://schemas.openxmlformats.org/officeDocument/2006/relationships/hyperlink" Target="https://dalil.kg/document/10047" TargetMode="External"/><Relationship Id="rIdguz989rux-qxzmlmltp-z" Type="http://schemas.openxmlformats.org/officeDocument/2006/relationships/hyperlink" Target="https://dalil.kg/document/12943" TargetMode="External"/><Relationship Id="rId4o_g6rqsjryhvqjgifufm" Type="http://schemas.openxmlformats.org/officeDocument/2006/relationships/hyperlink" Target="https://dalil.kg/document/12942" TargetMode="External"/><Relationship Id="rId9v9gkxy2oo5p1kdzrc6bm" Type="http://schemas.openxmlformats.org/officeDocument/2006/relationships/hyperlink" Target="https://dalil.kg/document/12808" TargetMode="External"/><Relationship Id="rIdsiz2aikchaxuqs01jueju" Type="http://schemas.openxmlformats.org/officeDocument/2006/relationships/hyperlink" Target="https://dalil.kg/document/12807" TargetMode="External"/><Relationship Id="rIdcbdx9p0hlsuhrigwu1ev6" Type="http://schemas.openxmlformats.org/officeDocument/2006/relationships/hyperlink" Target="https://dalil.kg/document/99907" TargetMode="External"/><Relationship Id="rId8xwik96rtfyzuow-z7u2e" Type="http://schemas.openxmlformats.org/officeDocument/2006/relationships/hyperlink" Target="https://dalil.kg/document/9989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_i8jinqariceeiflnyn" Type="http://schemas.openxmlformats.org/officeDocument/2006/relationships/hyperlink" Target="https://dalil.kg/document/13488" TargetMode="External"/><Relationship Id="rIdvlsg3dxfe7x1twguanq7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2026-09-24T23:29:21.894Z</dcterms:created>
  <dcterms:modified xsi:type="dcterms:W3CDTF">2026-09-24T23:29:21.894Z</dcterms:modified>
</cp:coreProperties>
</file>

<file path=docProps/custom.xml><?xml version="1.0" encoding="utf-8"?>
<Properties xmlns="http://schemas.openxmlformats.org/officeDocument/2006/custom-properties" xmlns:vt="http://schemas.openxmlformats.org/officeDocument/2006/docPropsVTypes"/>
</file>