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veavsvsu4nnqfu6g7xc6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айылного кенеша Курама от “1” апреля 2026 года № 24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vuprvxxnavagwet0kr5x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айылного кенеша Курама</w:t>
      </w:r>
      <w:r>
        <w:rPr>
          <w:rFonts w:ascii="Arial" w:cs="Arial" w:eastAsia="Arial" w:hAnsi="Arial"/>
          <w:sz w:val="24"/>
          <w:szCs w:val="24"/>
        </w:rPr>
        <w:t xml:space="preserve">от 17 мая 2021 года №1а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РЕГЛАМЕНТ АЙЫЛНОГО КЕНЕША КУРАМА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ОСНОВЫ ДЕЯТЕЛЬНОСТИ 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Айылный кенеш Курама (далее – айылный кенеш) - выборный представительный орган местного самоуправления, осуществляющий свою деятельность на коллегиальной основе, состоящий из 21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утверждение Положения об айылном кенеше;</w:t>
      </w:r>
    </w:p>
    <w:p>
      <w:pPr>
        <w:spacing w:after="120"/>
        <w:jc w:val="both"/>
      </w:pPr>
      <w:r>
        <w:rPr>
          <w:rFonts w:ascii="Arial" w:cs="Arial" w:eastAsia="Arial" w:hAnsi="Arial"/>
          <w:sz w:val="24"/>
          <w:szCs w:val="24"/>
        </w:rPr>
        <w:t xml:space="preserve">2) утверждение ежегодного плана работы айылного кенеша;</w:t>
      </w:r>
    </w:p>
    <w:p>
      <w:pPr>
        <w:spacing w:after="120"/>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Закона Кыргызской Республики «О местном самоуправлении»;</w:t>
      </w:r>
    </w:p>
    <w:p>
      <w:pPr>
        <w:spacing w:after="120"/>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w:t>
      </w:r>
    </w:p>
    <w:p>
      <w:pPr>
        <w:spacing w:after="120"/>
        <w:jc w:val="both"/>
      </w:pPr>
      <w:r>
        <w:rPr>
          <w:rFonts w:ascii="Arial" w:cs="Arial" w:eastAsia="Arial" w:hAnsi="Arial"/>
          <w:sz w:val="24"/>
          <w:szCs w:val="24"/>
        </w:rPr>
        <w:t xml:space="preserve">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w:t>
      </w:r>
    </w:p>
    <w:p>
      <w:pPr>
        <w:spacing w:after="120"/>
        <w:jc w:val="both"/>
      </w:pPr>
      <w:r>
        <w:rPr>
          <w:rFonts w:ascii="Arial" w:cs="Arial" w:eastAsia="Arial" w:hAnsi="Arial"/>
          <w:sz w:val="24"/>
          <w:szCs w:val="24"/>
        </w:rPr>
        <w:t xml:space="preserve">8) утверждение правил благоустройства, торговли, размещения наружной рекламы и информации на территории айылного аймака;</w:t>
      </w:r>
    </w:p>
    <w:p>
      <w:pPr>
        <w:spacing w:after="120"/>
        <w:jc w:val="both"/>
      </w:pPr>
      <w:r>
        <w:rPr>
          <w:rFonts w:ascii="Arial" w:cs="Arial" w:eastAsia="Arial" w:hAnsi="Arial"/>
          <w:sz w:val="24"/>
          <w:szCs w:val="24"/>
        </w:rPr>
        <w:t xml:space="preserve">9) организация работы по сотрудничеству и обмену опытом с другими местными кенешами;</w:t>
      </w:r>
    </w:p>
    <w:p>
      <w:pPr>
        <w:spacing w:after="120"/>
        <w:jc w:val="both"/>
      </w:pPr>
      <w:r>
        <w:rPr>
          <w:rFonts w:ascii="Arial" w:cs="Arial" w:eastAsia="Arial" w:hAnsi="Arial"/>
          <w:sz w:val="24"/>
          <w:szCs w:val="24"/>
        </w:rPr>
        <w:t xml:space="preserve">10)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jc w:val="both"/>
      </w:pPr>
      <w:r>
        <w:rPr>
          <w:rFonts w:ascii="Arial" w:cs="Arial" w:eastAsia="Arial" w:hAnsi="Arial"/>
          <w:sz w:val="24"/>
          <w:szCs w:val="24"/>
        </w:rPr>
        <w:t xml:space="preserve">11)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jc w:val="both"/>
      </w:pPr>
      <w:r>
        <w:rPr>
          <w:rFonts w:ascii="Arial" w:cs="Arial" w:eastAsia="Arial" w:hAnsi="Arial"/>
          <w:sz w:val="24"/>
          <w:szCs w:val="24"/>
        </w:rPr>
        <w:t xml:space="preserve">12)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13)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jc w:val="both"/>
      </w:pPr>
      <w:r>
        <w:rPr>
          <w:rFonts w:ascii="Arial" w:cs="Arial" w:eastAsia="Arial" w:hAnsi="Arial"/>
          <w:sz w:val="24"/>
          <w:szCs w:val="24"/>
        </w:rPr>
        <w:t xml:space="preserve">14)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jc w:val="both"/>
      </w:pPr>
      <w:r>
        <w:rPr>
          <w:rFonts w:ascii="Arial" w:cs="Arial" w:eastAsia="Arial" w:hAnsi="Arial"/>
          <w:sz w:val="24"/>
          <w:szCs w:val="24"/>
        </w:rPr>
        <w:t xml:space="preserve">15) дача согласия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16) утверждение порядка ведения Реестра объектов муниципальной собственности;</w:t>
      </w:r>
    </w:p>
    <w:p>
      <w:pPr>
        <w:spacing w:after="120"/>
        <w:jc w:val="both"/>
      </w:pPr>
      <w:r>
        <w:rPr>
          <w:rFonts w:ascii="Arial" w:cs="Arial" w:eastAsia="Arial" w:hAnsi="Arial"/>
          <w:sz w:val="24"/>
          <w:szCs w:val="24"/>
        </w:rPr>
        <w:t xml:space="preserve">17) установление порядка списания муниципальной собственности;</w:t>
      </w:r>
    </w:p>
    <w:p>
      <w:pPr>
        <w:spacing w:after="120"/>
        <w:jc w:val="both"/>
      </w:pPr>
      <w:r>
        <w:rPr>
          <w:rFonts w:ascii="Arial" w:cs="Arial" w:eastAsia="Arial" w:hAnsi="Arial"/>
          <w:sz w:val="24"/>
          <w:szCs w:val="24"/>
        </w:rPr>
        <w:t xml:space="preserve">18)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jc w:val="both"/>
      </w:pPr>
      <w:r>
        <w:rPr>
          <w:rFonts w:ascii="Arial" w:cs="Arial" w:eastAsia="Arial" w:hAnsi="Arial"/>
          <w:sz w:val="24"/>
          <w:szCs w:val="24"/>
        </w:rPr>
        <w:t xml:space="preserve">19) контроль за исполнением положений Устава местного сообщества и решений принятых айылным кенешем;</w:t>
      </w:r>
    </w:p>
    <w:p>
      <w:pPr>
        <w:spacing w:after="120"/>
        <w:jc w:val="both"/>
      </w:pPr>
      <w:r>
        <w:rPr>
          <w:rFonts w:ascii="Arial" w:cs="Arial" w:eastAsia="Arial" w:hAnsi="Arial"/>
          <w:sz w:val="24"/>
          <w:szCs w:val="24"/>
        </w:rPr>
        <w:t xml:space="preserve">20)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jc w:val="both"/>
      </w:pPr>
      <w:r>
        <w:rPr>
          <w:rFonts w:ascii="Arial" w:cs="Arial" w:eastAsia="Arial" w:hAnsi="Arial"/>
          <w:sz w:val="24"/>
          <w:szCs w:val="24"/>
        </w:rPr>
        <w:t xml:space="preserve">21)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jc w:val="both"/>
      </w:pPr>
      <w:r>
        <w:rPr>
          <w:rFonts w:ascii="Arial" w:cs="Arial" w:eastAsia="Arial" w:hAnsi="Arial"/>
          <w:sz w:val="24"/>
          <w:szCs w:val="24"/>
        </w:rPr>
        <w:t xml:space="preserve">22)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jc w:val="both"/>
      </w:pPr>
      <w:r>
        <w:rPr>
          <w:rFonts w:ascii="Arial" w:cs="Arial" w:eastAsia="Arial" w:hAnsi="Arial"/>
          <w:sz w:val="24"/>
          <w:szCs w:val="24"/>
        </w:rPr>
        <w:t xml:space="preserve">23)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w:t>
      </w:r>
    </w:p>
    <w:p>
      <w:pPr>
        <w:spacing w:after="120"/>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5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w:t>
      </w:r>
    </w:p>
    <w:p>
      <w:pPr>
        <w:spacing w:after="240" w:before="200"/>
        <w:jc w:val="center"/>
      </w:pPr>
      <w:r>
        <w:rPr>
          <w:rFonts w:ascii="Arial" w:cs="Arial" w:eastAsia="Arial" w:hAnsi="Arial"/>
          <w:b/>
          <w:bCs/>
          <w:sz w:val="32"/>
          <w:szCs w:val="32"/>
        </w:rPr>
        <w:t xml:space="preserve">заместителя председателя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Секретарь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          </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 окмоту по оказанию содействия в работе постоянных (временных) комиссий могут быть возложены на работников аппарата айыл окмоту.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4 и более 7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 </w:t>
      </w:r>
      <w:r>
        <w:rPr>
          <w:rFonts w:ascii="Arial" w:cs="Arial" w:eastAsia="Arial" w:hAnsi="Arial"/>
          <w:i/>
          <w:iCs/>
          <w:sz w:val="24"/>
          <w:szCs w:val="24"/>
        </w:rPr>
        <w:t xml:space="preserve">(В исключительных случаях айылные кенеши в составе 11 депутатов могут принять решение о праве депутата быть членом в двух постоянных комиссиях)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i/>
          <w:iCs/>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i/>
          <w:iCs/>
          <w:sz w:val="24"/>
          <w:szCs w:val="24"/>
        </w:rPr>
        <w:t xml:space="preserve">- по регламенту, депутатской этике и мандату;</w:t>
      </w:r>
    </w:p>
    <w:p>
      <w:pPr>
        <w:spacing w:after="120"/>
        <w:jc w:val="both"/>
      </w:pPr>
      <w:r>
        <w:rPr>
          <w:rFonts w:ascii="Arial" w:cs="Arial" w:eastAsia="Arial" w:hAnsi="Arial"/>
          <w:i/>
          <w:iCs/>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i/>
          <w:iCs/>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i/>
          <w:iCs/>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i/>
          <w:iCs/>
          <w:sz w:val="24"/>
          <w:szCs w:val="24"/>
        </w:rPr>
        <w:t xml:space="preserve">- по делам молодежи, спорту, культуре и социальным вопросам.).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15 минут с начала регистрации депутатов председательствующий объявляет перерыв на 15 минут. Если в течение 15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3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Повестка дня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w:t>
      </w:r>
    </w:p>
    <w:p>
      <w:pPr>
        <w:spacing w:after="240" w:before="200"/>
        <w:jc w:val="center"/>
      </w:pPr>
      <w:r>
        <w:rPr>
          <w:rFonts w:ascii="Arial" w:cs="Arial" w:eastAsia="Arial" w:hAnsi="Arial"/>
          <w:b/>
          <w:bCs/>
          <w:sz w:val="32"/>
          <w:szCs w:val="32"/>
        </w:rPr>
        <w:t xml:space="preserve">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5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jc w:val="both"/>
      </w:pPr>
      <w:r>
        <w:rPr>
          <w:rFonts w:ascii="Arial" w:cs="Arial" w:eastAsia="Arial" w:hAnsi="Arial"/>
          <w:i/>
          <w:iCs/>
          <w:sz w:val="24"/>
          <w:szCs w:val="24"/>
        </w:rPr>
        <w:t xml:space="preserve">(Следует учесть, что время выступлений и перерывов могут быть установлены депутатами каждого айылного кенеша по своему усмотрению!).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21;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w:t>
      </w:r>
      <w:r>
        <w:rPr>
          <w:rFonts w:ascii="Arial" w:cs="Arial" w:eastAsia="Arial" w:hAnsi="Arial"/>
          <w:b/>
          <w:bCs/>
          <w:sz w:val="24"/>
          <w:szCs w:val="24"/>
        </w:rPr>
        <w:t xml:space="preserve">Открытое голосование</w:t>
      </w:r>
      <w:r>
        <w:rPr>
          <w:rFonts w:ascii="Arial" w:cs="Arial" w:eastAsia="Arial" w:hAnsi="Arial"/>
          <w:sz w:val="24"/>
          <w:szCs w:val="24"/>
        </w:rPr>
        <w:t xml:space="preserve">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w:t>
      </w:r>
      <w:r>
        <w:rPr>
          <w:rFonts w:ascii="Arial" w:cs="Arial" w:eastAsia="Arial" w:hAnsi="Arial"/>
          <w:b/>
          <w:bCs/>
          <w:sz w:val="24"/>
          <w:szCs w:val="24"/>
        </w:rPr>
        <w:t xml:space="preserve">Тайное голосование</w:t>
      </w:r>
      <w:r>
        <w:rPr>
          <w:rFonts w:ascii="Arial" w:cs="Arial" w:eastAsia="Arial" w:hAnsi="Arial"/>
          <w:sz w:val="24"/>
          <w:szCs w:val="24"/>
        </w:rPr>
        <w:t xml:space="preserve">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 ПОРЯДОК РЕАЛИЗАЦИИ ОТДЕЛЬНЫХ ПОЛНОМОЧИЙ </w:t>
      </w:r>
      <w:r>
        <w:rPr>
          <w:rFonts w:ascii="Arial" w:cs="Arial" w:eastAsia="Arial" w:hAnsi="Arial"/>
          <w:b/>
          <w:bCs/>
          <w:sz w:val="24"/>
          <w:szCs w:val="24"/>
        </w:rPr>
        <w:t xml:space="preserve">АЙЫЛНОГО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8dbllup0_kylupdvtj4e">
      <w:r>
        <w:rPr>
          <w:rFonts w:ascii="Arial" w:cs="Arial" w:eastAsia="Arial" w:hAnsi="Arial"/>
          <w:color w:val="132D3F"/>
          <w:sz w:val="16"/>
          <w:szCs w:val="16"/>
          <w:u w:val="single"/>
        </w:rPr>
        <w:t xml:space="preserve">dalil.kg/document/135106</w:t>
      </w:r>
    </w:hyperlink>
  </w:p>
  <w:p>
    <w:pPr>
      <w:spacing w:after="0" w:before="40"/>
      <w:jc w:val="center"/>
    </w:pPr>
    <w:hyperlink w:history="1" r:id="rId44egjo7jil6wspaarx0c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avsvsu4nnqfu6g7xc6n" Type="http://schemas.openxmlformats.org/officeDocument/2006/relationships/hyperlink" Target="https://dalil.kg/document/230046775" TargetMode="External"/><Relationship Id="rIdvuprvxxnavagwet0kr5xt" Type="http://schemas.openxmlformats.org/officeDocument/2006/relationships/hyperlink" Target="https://dalil.kg/document/1351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8dbllup0_kylupdvtj4e" Type="http://schemas.openxmlformats.org/officeDocument/2006/relationships/hyperlink" Target="https://dalil.kg/document/135106" TargetMode="External"/><Relationship Id="rId44egjo7jil6wspaarx0c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2026-10-01T07:03:31.711Z</dcterms:created>
  <dcterms:modified xsi:type="dcterms:W3CDTF">2026-10-01T07:03:31.711Z</dcterms:modified>
</cp:coreProperties>
</file>

<file path=docProps/custom.xml><?xml version="1.0" encoding="utf-8"?>
<Properties xmlns="http://schemas.openxmlformats.org/officeDocument/2006/custom-properties" xmlns:vt="http://schemas.openxmlformats.org/officeDocument/2006/docPropsVTypes"/>
</file>