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4sc_a7_ajcxkhg-9w7wz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30 марта 2022 года №181)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2019 года № 204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Республики, регламентирующие условия оплаты труда работников государственных образовательных организаций начального профессионального образования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w6e33dqaykgp77g4u1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оплаты труда работников государственных образовательных организаций начального профессионального образования,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ucj-zstqp0eicpvtmxt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0nw91o-zysyfxeimyus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сентября 2019 года № 511)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wspygx36tucttxyxpu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8b8zhqrhunhev8ryzt2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заработной платы работников образовательных организаций" от 31 мая 2011 года № 270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5-lc4kvvlmzuwsavn6u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заработной платы работников образовательных организаций, утвержденной вышеуказанным </w:t>
      </w:r>
      <w:hyperlink w:history="1" r:id="rIdyyc2itauanbh38lbgue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</w:t>
      </w:r>
      <w:hyperlink w:history="1" r:id="rIdcudln43nh1zrlyg4spq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"Сформировать с 1 апреля 2019 года в государственных профессиональных лицеях за счет средств бюджета стимулирующий фонд заработной платы в пределах фонда оплаты труда, рассчитанного исходя из численности учащихся и норматива финансирования на одного учащегося.";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об установлении конкретного размера выплат из стимулирующего фонда заработной платы в государственных профессиональных лицеях принимает педагогический коллектив в порядке, определенном </w:t>
      </w:r>
      <w:hyperlink w:history="1" r:id="rId-y_uyqbct5itvhlrulr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2tzqyw-h2dspcyaczpg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5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8n7zak7py2lircw28cy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m1fte325qfsbqjvvse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
 к Инструкции о порядке исчисления заработной платы работников образовательных организаций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начисления стимулирующей заработной платы работникам государственных профессиональных лицеев в условиях нормативного финансирования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государственных профессиональных лицеях (далее - лицей) с 1 апреля 2019 года за счет бюджетных средств формируется фонд стимулирующей заработной платы - в пределах фонда оплаты труда, рассчитанного исходя из численности учащихся и норматива финансирования на одного учащегося.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Порядок начисления стимулирующей заработной платы работникам профессиональных лицеев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Выплаты работникам лицеев за счет стимулирующего фонда заработной платы не являются гарантированной заработной платой, устанавливаются по результатам выполненных работ и зависят от качества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определения фонда стимулирующей заработной платы из утвержденного фонда оплаты труда, предусмотренного в смете, исключаются суммы: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начисленной заработной платы за отчетный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выплаты по листкам временной нетрудоспособности за счет фонда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 стимулирующей заработной платы распределяется для лицеев, имеющих общежитие и стационарную столовую: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- 60 процентов - на стимулирование труда преподавателей и мастеров производственного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- 40 процентов - на стимулирование труда административно-управленческого, технического и младшего обслуживающего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 стимулирующей заработной платы распределяется для профессиональных лицеев, не имеющих общежитие и стационарную столовую или имеющих одно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- 65 процентов - на стимулирование труда преподавателей и мастеров производственного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- 35 процентов - на стимулирование труда административно-управленческого, технического и младшего обслуживающего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Лицеи могут создавать фонд материального поощрения работников в пределах фонда стимулирующей заработной платы, но не более 10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Фонд материального поощрения используется на премирование и материальное поощрение работников: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профессиональным и другим праздникам;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успехи в конкурсах профессионального мастерства;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подготовку и проведение тематических мероприятий и конкурсов;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привлечение внебюджетных ресурсов и улучшение материально-технической базы лицея.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Положение о фонде материального поощрения работников лицея утверждается руководителем организации по согласованию с профсоюзным комитетом.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Расчет фонда стимулирующей заработной платы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Размер стимулирующей заработной платы определяется: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преподавателям и мастерам производственного обучения - путем умножения стоимости одного балла на индивидуальное количество набранных работником баллов по оценочному листу,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СЗП</w:t>
      </w:r>
      <w:r>
        <w:rPr>
          <w:rFonts w:ascii="Arial" w:cs="Arial" w:eastAsia="Arial" w:hAnsi="Arial"/>
          <w:sz w:val="24"/>
          <w:szCs w:val="24"/>
        </w:rPr>
        <w:t xml:space="preserve">ПМ</w:t>
      </w:r>
      <w:r>
        <w:rPr>
          <w:rFonts w:ascii="Arial" w:cs="Arial" w:eastAsia="Arial" w:hAnsi="Arial"/>
          <w:sz w:val="24"/>
          <w:szCs w:val="24"/>
        </w:rPr>
        <w:t xml:space="preserve"> = С</w:t>
      </w:r>
      <w:r>
        <w:rPr>
          <w:rFonts w:ascii="Arial" w:cs="Arial" w:eastAsia="Arial" w:hAnsi="Arial"/>
          <w:sz w:val="24"/>
          <w:szCs w:val="24"/>
        </w:rPr>
        <w:t xml:space="preserve">1 балла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Б</w:t>
      </w:r>
      <w:r>
        <w:rPr>
          <w:rFonts w:ascii="Arial" w:cs="Arial" w:eastAsia="Arial" w:hAnsi="Arial"/>
          <w:sz w:val="24"/>
          <w:szCs w:val="24"/>
        </w:rPr>
        <w:t xml:space="preserve">инд. работника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СЗП</w:t>
      </w:r>
      <w:r>
        <w:rPr>
          <w:rFonts w:ascii="Arial" w:cs="Arial" w:eastAsia="Arial" w:hAnsi="Arial"/>
          <w:sz w:val="24"/>
          <w:szCs w:val="24"/>
        </w:rPr>
        <w:t xml:space="preserve">ПМ</w:t>
      </w:r>
      <w:r>
        <w:rPr>
          <w:rFonts w:ascii="Arial" w:cs="Arial" w:eastAsia="Arial" w:hAnsi="Arial"/>
          <w:sz w:val="24"/>
          <w:szCs w:val="24"/>
        </w:rPr>
        <w:t xml:space="preserve"> - стимулирующая заработная плата преподавателей и мастеров производственного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 балла</w:t>
      </w:r>
      <w:r>
        <w:rPr>
          <w:rFonts w:ascii="Arial" w:cs="Arial" w:eastAsia="Arial" w:hAnsi="Arial"/>
          <w:sz w:val="24"/>
          <w:szCs w:val="24"/>
        </w:rPr>
        <w:t xml:space="preserve"> - стоимость одного балла;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инд. работника</w:t>
      </w:r>
      <w:r>
        <w:rPr>
          <w:rFonts w:ascii="Arial" w:cs="Arial" w:eastAsia="Arial" w:hAnsi="Arial"/>
          <w:sz w:val="24"/>
          <w:szCs w:val="24"/>
        </w:rPr>
        <w:t xml:space="preserve"> - баллы работника по оценочному листу.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одного балла определяется путем деления фонда стимулирующей заработной платы преподавателей и мастеров производственного обучения на общее количество баллов по лицею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1 балла</w:t>
      </w:r>
      <w:r>
        <w:rPr>
          <w:rFonts w:ascii="Arial" w:cs="Arial" w:eastAsia="Arial" w:hAnsi="Arial"/>
          <w:sz w:val="24"/>
          <w:szCs w:val="24"/>
        </w:rPr>
        <w:t xml:space="preserve"> - стоимость балла;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СЗП - фонд стимулирующей заработной платы преподавателей и мастеров производственного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∑ БАЛЛОВ - сумма баллов по лицею;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административно-управленческому, техническому и младшему обслуживающему персоналу - путем умножения единого коэффициента стимулирующей заработной платы на начисленную заработную плату работников в пределах фонда стимулирующей заработной платы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СЗП</w:t>
      </w:r>
      <w:r>
        <w:rPr>
          <w:rFonts w:ascii="Arial" w:cs="Arial" w:eastAsia="Arial" w:hAnsi="Arial"/>
          <w:sz w:val="24"/>
          <w:szCs w:val="24"/>
        </w:rPr>
        <w:t xml:space="preserve">ауп, топ, моп</w:t>
      </w:r>
      <w:r>
        <w:rPr>
          <w:rFonts w:ascii="Arial" w:cs="Arial" w:eastAsia="Arial" w:hAnsi="Arial"/>
          <w:sz w:val="24"/>
          <w:szCs w:val="24"/>
        </w:rPr>
        <w:t xml:space="preserve"> = НЗП</w:t>
      </w:r>
      <w:r>
        <w:rPr>
          <w:rFonts w:ascii="Arial" w:cs="Arial" w:eastAsia="Arial" w:hAnsi="Arial"/>
          <w:sz w:val="24"/>
          <w:szCs w:val="24"/>
        </w:rPr>
        <w:t xml:space="preserve">ауп, топ, моп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КСЗ</w:t>
      </w:r>
      <w:r>
        <w:rPr>
          <w:rFonts w:ascii="Arial" w:cs="Arial" w:eastAsia="Arial" w:hAnsi="Arial"/>
          <w:sz w:val="24"/>
          <w:szCs w:val="24"/>
        </w:rPr>
        <w:t xml:space="preserve">ауп, топ, моп</w:t>
      </w:r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СЗП</w:t>
      </w:r>
      <w:r>
        <w:rPr>
          <w:rFonts w:ascii="Arial" w:cs="Arial" w:eastAsia="Arial" w:hAnsi="Arial"/>
          <w:sz w:val="24"/>
          <w:szCs w:val="24"/>
        </w:rPr>
        <w:t xml:space="preserve">ауп, топ, моп</w:t>
      </w:r>
      <w:r>
        <w:rPr>
          <w:rFonts w:ascii="Arial" w:cs="Arial" w:eastAsia="Arial" w:hAnsi="Arial"/>
          <w:sz w:val="24"/>
          <w:szCs w:val="24"/>
        </w:rPr>
        <w:t xml:space="preserve"> - стимулирующая заработная плата административно-управленческого, технического и младшего обслуживающего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НЗП</w:t>
      </w:r>
      <w:r>
        <w:rPr>
          <w:rFonts w:ascii="Arial" w:cs="Arial" w:eastAsia="Arial" w:hAnsi="Arial"/>
          <w:sz w:val="24"/>
          <w:szCs w:val="24"/>
        </w:rPr>
        <w:t xml:space="preserve">ауп, топ, моп</w:t>
      </w:r>
      <w:r>
        <w:rPr>
          <w:rFonts w:ascii="Arial" w:cs="Arial" w:eastAsia="Arial" w:hAnsi="Arial"/>
          <w:sz w:val="24"/>
          <w:szCs w:val="24"/>
        </w:rPr>
        <w:t xml:space="preserve"> - начисленная заработная плата административно-управленческого, технического и младшего обслуживающего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КСЗ</w:t>
      </w:r>
      <w:r>
        <w:rPr>
          <w:rFonts w:ascii="Arial" w:cs="Arial" w:eastAsia="Arial" w:hAnsi="Arial"/>
          <w:sz w:val="24"/>
          <w:szCs w:val="24"/>
        </w:rPr>
        <w:t xml:space="preserve">ауп, топ, моп</w:t>
      </w:r>
      <w:r>
        <w:rPr>
          <w:rFonts w:ascii="Arial" w:cs="Arial" w:eastAsia="Arial" w:hAnsi="Arial"/>
          <w:sz w:val="24"/>
          <w:szCs w:val="24"/>
        </w:rPr>
        <w:t xml:space="preserve"> - коэффициент стимулирующей заработной платы административно-управленческого, технического и младшего обслуживающего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стимулирующей заработной платы определяется путем деления фонда стимулирующей заработной платы административно-управленческого, технического и младшего обслуживающего персонала на фонд начисленной заработной платы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КСЗ</w:t>
      </w:r>
      <w:r>
        <w:rPr>
          <w:rFonts w:ascii="Arial" w:cs="Arial" w:eastAsia="Arial" w:hAnsi="Arial"/>
          <w:sz w:val="24"/>
          <w:szCs w:val="24"/>
        </w:rPr>
        <w:t xml:space="preserve">ауп, топ, моп</w:t>
      </w:r>
      <w:r>
        <w:rPr>
          <w:rFonts w:ascii="Arial" w:cs="Arial" w:eastAsia="Arial" w:hAnsi="Arial"/>
          <w:sz w:val="24"/>
          <w:szCs w:val="24"/>
        </w:rPr>
        <w:t xml:space="preserve"> - коэффициент стимулирующей заработной платы административно-управленческого, технического и младшего обслуживающего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СЗП</w:t>
      </w:r>
      <w:r>
        <w:rPr>
          <w:rFonts w:ascii="Arial" w:cs="Arial" w:eastAsia="Arial" w:hAnsi="Arial"/>
          <w:sz w:val="24"/>
          <w:szCs w:val="24"/>
        </w:rPr>
        <w:t xml:space="preserve">ауп, топ, моп</w:t>
      </w:r>
      <w:r>
        <w:rPr>
          <w:rFonts w:ascii="Arial" w:cs="Arial" w:eastAsia="Arial" w:hAnsi="Arial"/>
          <w:sz w:val="24"/>
          <w:szCs w:val="24"/>
        </w:rPr>
        <w:t xml:space="preserve"> - фонд стимулирующей заработной платы административно-управленческого, технического и младшего обслуживающего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 НЗП</w:t>
      </w:r>
      <w:r>
        <w:rPr>
          <w:rFonts w:ascii="Arial" w:cs="Arial" w:eastAsia="Arial" w:hAnsi="Arial"/>
          <w:sz w:val="24"/>
          <w:szCs w:val="24"/>
        </w:rPr>
        <w:t xml:space="preserve">ауп, топ, моп</w:t>
      </w:r>
      <w:r>
        <w:rPr>
          <w:rFonts w:ascii="Arial" w:cs="Arial" w:eastAsia="Arial" w:hAnsi="Arial"/>
          <w:sz w:val="24"/>
          <w:szCs w:val="24"/>
        </w:rPr>
        <w:t xml:space="preserve"> - фонд начисленной заработной платы административно-управленческого, технического и младшего обслуживающего персонала.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Первоначально методической комиссией заполняются оценочные листы на каждого работника по форме, утвержденной уполномоченным государственным органом Кыргызской Республики в сфере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Методические комиссии создаются при наличии трех и более преподавателей и мастеров производственного обучения определенного предмета (профессии) или родственных предметов (групп профессий).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состав методических комиссий по направлению подготовки включаются: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гуманитарного цикла - преподаватели русского, кыргызского и иностранного языков, литературы, общественно-политических дисциплин, экологии, этики;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естественно-научного цикла - преподаватели естественно-математических дисциплин;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профессионально-технического цикла - мастера производственного обучения по одной или нескольким родственным (смежным) профессиям.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Состав методических комиссий избирается из числа наиболее опытных и квалифицированных преподавателей или мастеров производственного обучения и утверждается приказом директора на текущий учебный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Баллы присваиваются как по основной, так и по совмещаемой должности. За преподавание другого предмета итоги оценивания преподавателя или мастера производственного обучения вносятся в оценочный лист соответствующей методической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 совмещаемой должности для итоговой суммы баллов работника применяется коэффициент 0,5.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Оценочные листы отражают результаты работы каждого преподавателя или мастера производственного обучения в течение отчетного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Общее количество баллов устанавливается преподавателям и мастерам производственного обучения и представляет собой совокупность баллов, каждый из которых отражает степень нагрузки в учебном процессе, во внеурочной деятельности профессионального лицея, результативность обучения и качество знаний учащихся, исполнительскую дисциплину.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Заполненные и заверенные методической комиссией оценочные листы передаются для контроля и проверки в экспертный совет лицея, не позднее 20 числа месяца, следующего за отчетным.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Экспертный совет и его председатель избираются на общем собрании коллектива лицея и утверждаются приказом директора на текущий учебный год. В состав экспертного совета входят заместители директора по учебной, учебно-воспитательной работе, представитель профсоюзного комитета, бухгалтер, представители методических комиссий.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Экспертный совет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проверки обоснованности начисления работникам баллов;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методическую комиссию по заполнению оценочных листов о снятии или снижении баллов для отдельных работников в случаях нарушения трудовой дисциплины или трудовых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принятии решения о премировании или материальном поощрении работников профессионального лицея.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Расчет баллов преподавателей и мастеров производственного обучения и начисление стимулирующей заработной платы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Баллы преподавателей и мастеров производственного обучения определяются на основании индикаторов оценки результативности и качества их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Размер баллов на одного работника не должен превышать 10 баллов.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Рекомендуемые индикаторы оценки результативности и качества работ для расчета баллов преподавателей: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воспитательной и внеклассной работы (организация и проведение воспитательных мероприятий (беседы, лекции, круглые столы, конкурсы); индивидуальная работа с часто отсутствующими учащимися;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проведение конференций, семинаров, педагогических чтений и открытых уроков;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использование 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методическая работа;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качественное ведение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вклад в развитие профессионального лицея;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индивидуальных образовательных результатов учащихся (по материалам контрольных работ) с оценкой "4" и "5" свыше 30 процентов общей численности учащихся в группе;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посещаемость занятий учащимися;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конкурсах и внеклассных мероприятиях;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дисциплинарных взысканий.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Рекомендуемые индикаторы оценки результативности и качества работ для расчета баллов мастеров производственного обучения: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качество воспитательной работы (проведение классных часов, беседы с родителями и учащимися, проведение родительских собраний, отчеты по воспитательной работе);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овладение обучающимися передовыми методами труда современной техники и технологии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использование 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качественное проведение производственного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качественное ведение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учебно-методической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обучающихся к выполнению квалификационных работ и сдаче экзаменов (разработка вопросов к экзаменам, график консультаций, разработка заданий для практических работ);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посещаемости производственного обучения и практики учащимися по сравнению с посещаемостью в предыдущем учебном квартале (табель посещаемости, график посещения производственной практики, акты посещения);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конкурсов и/или участие в выставках изделий, изготовленных учащимися;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дисциплинарных взысканий.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Лицей вправе изменить индикаторы оценки результативности и качества работы преподавателей и мастеров производственного обучения. Предлагаемые изменения предварительно обсуждаются на общем собрании коллектива лицея и после одобрения коллективом отражаются во внутреннем Положении об оплате труда работников лицея.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Административно-управленческим работникам, имеющим часы педагогической работы, также проставляются баллы по направлению подготовки методической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Информация об итоговых размерах баллов доводится до сведения преподавателей и мастеров производственного обучения не позднее 25 числа месяца, следующего за отчетным.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Экспертный совет профессионального лицея после проверки правильности заполнения оценочных листов и снятия разногласий, утверждает их и передает в бухгалтерию для начисления стимулирующей заработной платы преподавателям и мастерам производственного обучения.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Начисление стимулирующей заработной платы административно-управленческому, техническому и младшему обслуживающему персоналу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Начисление стимулирующей заработной платы административно-управленческому, техническому и младшему обслуживающему персоналу определяется самим лицеем. При этом допускается: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единого сложившегося по фонду стимулирующей заработной платы коэффициента стимулирующей заработной платы к начисленной заработной плате каждого работника административно-управленческого, технического и младшего обслуживающего персонала по штатному расписанию;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разделение доли стимулирующего фонда заработной платы на административно-управленческий, технический и младший обслуживающий персонал, и использование коэффициента стимулирующей заработной платы соответственно;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применение смешанной формы с фиксированными доплатами директору, отдельным административно-управленческим работникам, остальным работникам по единому коэффициенту стимулирующей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Лицей самостоятельно принимает решение, какой вариант начисления стимулирующей заработной платы административно-управленческому, техническому и младшему обслуживающему персоналу применить, и отражает их во внутреннем Положении об оплате труда работников лицея.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Размер средней заработной платы руководителя не должен превышать трехкратного размера средней заработной платы работников лицея.".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j3bcxabrgr2pek3ex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dalil.kg/document/13625</w:t>
      </w:r>
    </w:hyperlink>
  </w:p>
  <w:p>
    <w:pPr>
      <w:spacing w:after="0" w:before="40"/>
      <w:jc w:val="center"/>
    </w:pPr>
    <w:hyperlink w:history="1" r:id="rId7q3djbgwknqkw3nhv7-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sc_a7_ajcxkhg-9w7wzm" Type="http://schemas.openxmlformats.org/officeDocument/2006/relationships/hyperlink" Target="https://dalil.kg/document/159046" TargetMode="External"/><Relationship Id="rIdtw6e33dqaykgp77g4u1eq" Type="http://schemas.openxmlformats.org/officeDocument/2006/relationships/hyperlink" Target="https://dalil.kg/document/157168" TargetMode="External"/><Relationship Id="rIducj-zstqp0eicpvtmxt7d" Type="http://schemas.openxmlformats.org/officeDocument/2006/relationships/hyperlink" Target="https://dalil.kg/document/203685" TargetMode="External"/><Relationship Id="rId0nw91o-zysyfxeimyuskm" Type="http://schemas.openxmlformats.org/officeDocument/2006/relationships/hyperlink" Target="https://dalil.kg/document/157168" TargetMode="External"/><Relationship Id="rIdlwspygx36tucttxyxpu6a" Type="http://schemas.openxmlformats.org/officeDocument/2006/relationships/hyperlink" Target="https://dalil.kg/document/92689" TargetMode="External"/><Relationship Id="rId8b8zhqrhunhev8ryzt2q3" Type="http://schemas.openxmlformats.org/officeDocument/2006/relationships/hyperlink" Target="https://dalil.kg/document/92690" TargetMode="External"/><Relationship Id="rId5-lc4kvvlmzuwsavn6uh6" Type="http://schemas.openxmlformats.org/officeDocument/2006/relationships/hyperlink" Target="https://dalil.kg/document/92690" TargetMode="External"/><Relationship Id="rIdyyc2itauanbh38lbgueyf" Type="http://schemas.openxmlformats.org/officeDocument/2006/relationships/hyperlink" Target="https://dalil.kg/document/92689" TargetMode="External"/><Relationship Id="rIdcudln43nh1zrlyg4spq5l" Type="http://schemas.openxmlformats.org/officeDocument/2006/relationships/hyperlink" Target="https://dalil.kg/document/92690#g4" TargetMode="External"/><Relationship Id="rId-y_uyqbct5itvhlrulrm8" Type="http://schemas.openxmlformats.org/officeDocument/2006/relationships/hyperlink" Target="https://dalil.kg/document/92690#p5" TargetMode="External"/><Relationship Id="rId2tzqyw-h2dspcyaczpg_h" Type="http://schemas.openxmlformats.org/officeDocument/2006/relationships/hyperlink" Target="https://dalil.kg/document/92690#p5" TargetMode="External"/><Relationship Id="rId8n7zak7py2lircw28cymn" Type="http://schemas.openxmlformats.org/officeDocument/2006/relationships/hyperlink" Target="https://dalil.kg/document/13625#p1" TargetMode="External"/><Relationship Id="rIdxm1fte325qfsbqjvvse1g" Type="http://schemas.openxmlformats.org/officeDocument/2006/relationships/hyperlink" Target="https://dalil.kg/document/92690#p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j3bcxabrgr2pek3exzv" Type="http://schemas.openxmlformats.org/officeDocument/2006/relationships/hyperlink" Target="https://dalil.kg/document/13625" TargetMode="External"/><Relationship Id="rId7q3djbgwknqkw3nhv7--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2026-09-24T05:31:45.423Z</dcterms:created>
  <dcterms:modified xsi:type="dcterms:W3CDTF">2026-09-24T05:31:45.423Z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