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декабря 2022 года № 01-6/24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введении налога на имущество и утверждении зонального коэффициента К3 в населенных пунктах Тош-Булакского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главного специалиста по доходам Ельбалдиевой Э.Ю. о введение налога на имущество на жилое и нежилое,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 согласно пункта 2 </w:t>
      </w:r>
      <w:hyperlink w:history="1" r:id="rIdwys_18819e_ri3qml48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 О введении действие Налогового кодекса Кыргызской Республики» от 18 марта 2022 года №4, с 1 января 2023 года осуществляется местными кенешами. Об утверждении в соответствии Налогового Кодекса КР раздела 13 </w:t>
      </w:r>
      <w:hyperlink w:history="1" r:id="rId86amfwccwyxvcdsrmz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388</w:t>
        </w:r>
      </w:hyperlink>
      <w:r>
        <w:rPr>
          <w:rFonts w:ascii="Arial" w:cs="Arial" w:eastAsia="Arial" w:hAnsi="Arial"/>
          <w:sz w:val="24"/>
          <w:szCs w:val="24"/>
        </w:rPr>
        <w:t xml:space="preserve"> зональный коэффициент К3 для здании, сооружений и помещений, </w:t>
      </w:r>
      <w:hyperlink w:history="1" r:id="rIdp5goisy8sb-u5zsprwt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для земель населенного пункта и несельскохозяйственного назначения, земель налога с приусадебного участка а также Кодекса Кыргызской Республики о неналоговых доходах №90 от 10 августа 2018 года </w:t>
      </w:r>
      <w:hyperlink w:history="1" r:id="rIddqy-qrbsrrqr6bwezxn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ставка сбора за вывоз мусора населенных пунктах сессия Тош-Булакского айыльного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2023 года налог на имущество на территории Тош-Булакского айыл окмоту, который включает в себя: налог на жилое и нежилое имущество,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территории Тош-Булакского айыльного аймака для с. Тош-Булак, с. Борулу уч. Четинди зональный коэффициент К3- 1,2 для расчета земельного налога несельскохозяйственного назначения и приусадебного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налогов указанных в пункте 1,2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2023 года утвердить ставку налога за вывоз мусора с юридических лиц и индивидуальных предпринимателей в размере 100 сом с численности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вступает в силу с момента опубликования на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Зам. 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Р.К. Мураталиева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f6zng2basuctq8dgp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dalil.kg/document/136726</w:t>
      </w:r>
    </w:hyperlink>
  </w:p>
  <w:p>
    <w:pPr>
      <w:spacing w:after="0" w:before="40"/>
      <w:jc w:val="center"/>
    </w:pPr>
    <w:hyperlink w:history="1" r:id="rIdsu92jvqgosyr4siwadg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s_18819e_ri3qml48oc" Type="http://schemas.openxmlformats.org/officeDocument/2006/relationships/hyperlink" Target="https://dalil.kg/document/112342#st_3" TargetMode="External"/><Relationship Id="rId86amfwccwyxvcdsrmztuk" Type="http://schemas.openxmlformats.org/officeDocument/2006/relationships/hyperlink" Target="https://dalil.kg/document/112340#st_388" TargetMode="External"/><Relationship Id="rIdp5goisy8sb-u5zsprwtik" Type="http://schemas.openxmlformats.org/officeDocument/2006/relationships/hyperlink" Target="https://dalil.kg/document/112340#st_404" TargetMode="External"/><Relationship Id="rIddqy-qrbsrrqr6bwezxndu" Type="http://schemas.openxmlformats.org/officeDocument/2006/relationships/hyperlink" Target="https://dalil.kg/document/111820#st_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f6zng2basuctq8dgpqq" Type="http://schemas.openxmlformats.org/officeDocument/2006/relationships/hyperlink" Target="https://dalil.kg/document/136726" TargetMode="External"/><Relationship Id="rIdsu92jvqgosyr4siwadg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2026-09-29T22:09:13.252Z</dcterms:created>
  <dcterms:modified xsi:type="dcterms:W3CDTF">2026-09-29T22:09:13.252Z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