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a0jwpm-kq9t3sdfqmd2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апреля 2020 года № 228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мая 2019 года № 210</w:t>
      </w:r>
    </w:p>
    <w:p>
      <w:pPr>
        <w:spacing w:after="24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2019/2020 года</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hpelruyypl-vdsplxwgs">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2019/2020 года, в соответствии со статьями </w:t>
      </w:r>
      <w:r>
        <w:rPr>
          <w:rFonts w:ascii="Arial" w:cs="Arial" w:eastAsia="Arial" w:hAnsi="Arial"/>
          <w:sz w:val="24"/>
          <w:szCs w:val="24"/>
        </w:rPr>
        <w:t xml:space="preserve">10 и 17 </w:t>
      </w:r>
      <w:hyperlink w:history="1" r:id="rId1-11qvmcsrifiwnmy12a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2019/2020 года (далее - План мероприятий) согласно </w:t>
      </w:r>
      <w:hyperlink w:history="1" r:id="rIdqkhitco-x5mt4zejnt_2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"Кыргызтеплоэнерго"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"Чакан ГЭС", обществу с ограниченной ответственностью (далее - ОсОО) "Газпром Кыргызстан" и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w:t>
      </w:r>
      <w:hyperlink w:history="1" r:id="rId7ubckubhlz34f5j9zvw0b">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hzuacypohob7gn2vvxb8">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срок до 1 августа 2019 года в установленном порядке принять меры по проведению конкурсов на закупку топлива для бюджетных организаций, заключить с ними договоры;</w:t>
      </w:r>
    </w:p>
    <w:p>
      <w:pPr>
        <w:spacing w:after="60"/>
        <w:ind w:firstLine="567"/>
        <w:jc w:val="both"/>
      </w:pPr>
      <w:r>
        <w:rPr>
          <w:rFonts w:ascii="Arial" w:cs="Arial" w:eastAsia="Arial" w:hAnsi="Arial"/>
          <w:sz w:val="24"/>
          <w:szCs w:val="24"/>
        </w:rPr>
        <w:t xml:space="preserve">- в срок до 1 июля 2019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 (для учреждений, имеющих на балансе отопительные котельные и другие виды энергетического оборудования);</w:t>
      </w:r>
    </w:p>
    <w:p>
      <w:pPr>
        <w:spacing w:after="60"/>
        <w:ind w:firstLine="567"/>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Государственный комитет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конкурсов на закупку угля, о выполнении плановых заданий по заготовке топлива, создании топливных баз и пунктов реализации угля, с указанием цен на уголь. Ответственность за предоставление информации в Государственный комитет промышленности, энергетики и недропользования Кыргызской Республики и ее достоверность возлагается на руководителей министерств, государственных комитетов, административных ведомств, аппаратов полномочных представителей Правительства Кыргызской Республики в областях, местных государственных администраций и предприятий топливно-энергетического комплекса Кыргызской Республики;</w:t>
      </w:r>
    </w:p>
    <w:p>
      <w:pPr>
        <w:spacing w:after="60"/>
        <w:ind w:firstLine="567"/>
        <w:jc w:val="both"/>
      </w:pPr>
      <w:r>
        <w:rPr>
          <w:rFonts w:ascii="Arial" w:cs="Arial" w:eastAsia="Arial" w:hAnsi="Arial"/>
          <w:sz w:val="24"/>
          <w:szCs w:val="24"/>
        </w:rPr>
        <w:t xml:space="preserve">-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60"/>
        <w:ind w:firstLine="567"/>
        <w:jc w:val="both"/>
      </w:pPr>
      <w:r>
        <w:rPr>
          <w:rFonts w:ascii="Arial" w:cs="Arial" w:eastAsia="Arial" w:hAnsi="Arial"/>
          <w:sz w:val="24"/>
          <w:szCs w:val="24"/>
        </w:rPr>
        <w:t xml:space="preserve">3. В соответствии с частью 2 </w:t>
      </w:r>
      <w:r>
        <w:rPr>
          <w:rFonts w:ascii="Arial" w:cs="Arial" w:eastAsia="Arial" w:hAnsi="Arial"/>
          <w:sz w:val="24"/>
          <w:szCs w:val="24"/>
        </w:rPr>
        <w:t xml:space="preserve">статьи 27</w:t>
      </w:r>
      <w:hyperlink w:history="1" r:id="rIdhxnbf-b2wkwbdq4mvc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государственных комитетов и административных ведомств, государственному предприятию "Кыргызтеплоэнерго" при Государственном комитете промышленности, энергетики и недропользования Кыргызской Республики, ОАО "Электрические станции" (по согласованию) временно, на период подготовки и прохождения осенне-зимнего периода 2019/2020 года, исключить для ОАО "Кыргызнефтегаз" и государственного предприятия "Кыргызкомур" при Государственном комитете промышленности, энергетики и недропользования Кыргызской Республики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60"/>
        <w:ind w:firstLine="56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20 мая 2019 года:</w:t>
      </w:r>
    </w:p>
    <w:p>
      <w:pPr>
        <w:spacing w:after="60"/>
        <w:ind w:firstLine="567"/>
        <w:jc w:val="both"/>
      </w:pPr>
      <w:r>
        <w:rPr>
          <w:rFonts w:ascii="Arial" w:cs="Arial" w:eastAsia="Arial" w:hAnsi="Arial"/>
          <w:sz w:val="24"/>
          <w:szCs w:val="24"/>
        </w:rPr>
        <w:t xml:space="preserve">- установить цены на уголь угледобывающим компаниям Кыргызской Республики, осуществляющим поставку угля на предприятия топливно-энергетического комплекса Кыргызской Республики, согласно перечню, представленному государственным предприятием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определить цены на перевозку угля автотранспортными средствами по маршрутам: разрез "Кара-Кече" - железнодорожная станция Балыкчы и город Таш-Кумыр - ТЭЦ города Бишкек и рекомендовать их для использования;</w:t>
      </w:r>
    </w:p>
    <w:p>
      <w:pPr>
        <w:spacing w:after="60"/>
        <w:ind w:firstLine="567"/>
        <w:jc w:val="both"/>
      </w:pPr>
      <w:r>
        <w:rPr>
          <w:rFonts w:ascii="Arial" w:cs="Arial" w:eastAsia="Arial" w:hAnsi="Arial"/>
          <w:sz w:val="24"/>
          <w:szCs w:val="24"/>
        </w:rPr>
        <w:t xml:space="preserve">- установить для ОАО "Кыргызнефтегаз" цену на топочный мазут марки "М-100" для поставки на ТЭЦ города Ош, теплоснабжающим филиалам государственного предприятия "Кыргызтеплоэнерго" при Государственном комитете промышленности, энергетики и недропользования Кыргызской Республики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Полномочным представителям Правительства Кыргызской Республики в областях, местным государственным администрациям и мэриям городов Бишкек и Ош (по согласованию) отслеживать цены на уголь на топливных базах и пунктах реализации, осуществляющих поставку угля для населения. В случае повышения цен на уголь на 20 и более процентов в течение месяца, вносить в Министерство экономики Кыргызской Республики предложения о стабилизации цен в установленном законодательством порядке.</w:t>
      </w:r>
    </w:p>
    <w:p>
      <w:pPr>
        <w:spacing w:after="60"/>
        <w:ind w:firstLine="567"/>
        <w:jc w:val="both"/>
      </w:pPr>
      <w:r>
        <w:rPr>
          <w:rFonts w:ascii="Arial" w:cs="Arial" w:eastAsia="Arial" w:hAnsi="Arial"/>
          <w:sz w:val="24"/>
          <w:szCs w:val="24"/>
        </w:rPr>
        <w:t xml:space="preserve">6. Министерству экономики Кыргызской Республики по результатам мониторинга, анализа предложений, внесенных полномочными представителями Правительства Кыргызской Республики в областях, местными государственными администрациями и мэриями городов Бишкек и Ош,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w:t>
      </w:r>
    </w:p>
    <w:p>
      <w:pPr>
        <w:spacing w:after="60"/>
        <w:ind w:firstLine="567"/>
        <w:jc w:val="both"/>
      </w:pPr>
      <w:r>
        <w:rPr>
          <w:rFonts w:ascii="Arial" w:cs="Arial" w:eastAsia="Arial" w:hAnsi="Arial"/>
          <w:sz w:val="24"/>
          <w:szCs w:val="24"/>
        </w:rPr>
        <w:t xml:space="preserve">7. Министерству финансов Кыргызской Республики обеспечить в 2019 году своевременное поквартальное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hyperlink w:history="1" r:id="rIdksfhxv77684qrmnoxpx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w:t>
      </w:r>
    </w:p>
    <w:p>
      <w:pPr>
        <w:spacing w:after="60"/>
        <w:ind w:firstLine="567"/>
        <w:jc w:val="both"/>
      </w:pPr>
      <w:r>
        <w:rPr>
          <w:rFonts w:ascii="Arial" w:cs="Arial" w:eastAsia="Arial" w:hAnsi="Arial"/>
          <w:sz w:val="24"/>
          <w:szCs w:val="24"/>
        </w:rPr>
        <w:t xml:space="preserve">8.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60"/>
        <w:ind w:firstLine="567"/>
        <w:jc w:val="both"/>
      </w:pPr>
      <w:r>
        <w:rPr>
          <w:rFonts w:ascii="Arial" w:cs="Arial" w:eastAsia="Arial" w:hAnsi="Arial"/>
          <w:sz w:val="24"/>
          <w:szCs w:val="24"/>
        </w:rPr>
        <w:t xml:space="preserve">-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60"/>
        <w:ind w:firstLine="567"/>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60"/>
        <w:ind w:firstLine="567"/>
        <w:jc w:val="both"/>
      </w:pPr>
      <w:r>
        <w:rPr>
          <w:rFonts w:ascii="Arial" w:cs="Arial" w:eastAsia="Arial" w:hAnsi="Arial"/>
          <w:sz w:val="24"/>
          <w:szCs w:val="24"/>
        </w:rPr>
        <w:t xml:space="preserve">9.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линий электропередачи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60"/>
        <w:ind w:firstLine="567"/>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Социальному фонду Кыргызской Республики, Фонду государственных материальных резервов при Правительстве Кыргызской Республики и Государственному агентству по управлению бюджетными кредитами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"Кыргызтеплоэнерго" и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11. Возложить персональную ответственность:</w:t>
      </w:r>
    </w:p>
    <w:p>
      <w:pPr>
        <w:spacing w:after="60"/>
        <w:ind w:firstLine="567"/>
        <w:jc w:val="both"/>
      </w:pPr>
      <w:r>
        <w:rPr>
          <w:rFonts w:ascii="Arial" w:cs="Arial" w:eastAsia="Arial" w:hAnsi="Arial"/>
          <w:sz w:val="24"/>
          <w:szCs w:val="24"/>
        </w:rPr>
        <w:t xml:space="preserve">- за выполнение установленных лимитов потребления электрической энергии и мощности -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ОАО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60"/>
        <w:ind w:firstLine="567"/>
        <w:jc w:val="both"/>
      </w:pPr>
      <w:r>
        <w:rPr>
          <w:rFonts w:ascii="Arial" w:cs="Arial" w:eastAsia="Arial" w:hAnsi="Arial"/>
          <w:sz w:val="24"/>
          <w:szCs w:val="24"/>
        </w:rPr>
        <w:t xml:space="preserve">- за возникновение просрочки платежей за электрическую и тепловую энергию и природный газ - на руководителей бюджетных организаций;</w:t>
      </w:r>
    </w:p>
    <w:p>
      <w:pPr>
        <w:spacing w:after="60"/>
        <w:ind w:firstLine="567"/>
        <w:jc w:val="both"/>
      </w:pPr>
      <w:r>
        <w:rPr>
          <w:rFonts w:ascii="Arial" w:cs="Arial" w:eastAsia="Arial" w:hAnsi="Arial"/>
          <w:sz w:val="24"/>
          <w:szCs w:val="24"/>
        </w:rPr>
        <w:t xml:space="preserve">- за качество и своевременность проведения ремонтно-восстановительных работ энергооборудования - на руководителей ОАО "Национальная энергетическая холдинговая компания", "Северэлектро", "Ошэлектро", "Востокэлектро", "Жалалабатэлектро", "Национальная электрическая сеть Кыргызстана", "Электрические станции", "Чакан ГЭС" "Бишкектеплосеть", коммунального предприятия "Бишкектеплоэнерго", Ошского муниципального предприятия "Теплоснабжение" и государственного предприятия "Кыргызтеплоэнерго".</w:t>
      </w:r>
    </w:p>
    <w:p>
      <w:pPr>
        <w:spacing w:after="60"/>
        <w:ind w:firstLine="567"/>
        <w:jc w:val="both"/>
      </w:pPr>
      <w:r>
        <w:rPr>
          <w:rFonts w:ascii="Arial" w:cs="Arial" w:eastAsia="Arial" w:hAnsi="Arial"/>
          <w:sz w:val="24"/>
          <w:szCs w:val="24"/>
        </w:rPr>
        <w:t xml:space="preserve">12. Государственному предприятию "Кыргызтеплоэнерго"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обеспечить завершение ремонтных работ котельного оборудования и тепловых сетей до начала отопительного сезона 2019/2020 года;</w:t>
      </w:r>
    </w:p>
    <w:p>
      <w:pPr>
        <w:spacing w:after="60"/>
        <w:ind w:firstLine="567"/>
        <w:jc w:val="both"/>
      </w:pPr>
      <w:r>
        <w:rPr>
          <w:rFonts w:ascii="Arial" w:cs="Arial" w:eastAsia="Arial" w:hAnsi="Arial"/>
          <w:sz w:val="24"/>
          <w:szCs w:val="24"/>
        </w:rPr>
        <w:t xml:space="preserve">- в срок до 1 сентября 2019 года закончить строительство новой воздушной линии 10 кВ для снабжения электрической энергией котельной филиала "Бостеринское предприятие теплоснабжения".</w:t>
      </w:r>
    </w:p>
    <w:p>
      <w:pPr>
        <w:spacing w:after="60"/>
        <w:ind w:firstLine="567"/>
        <w:jc w:val="both"/>
      </w:pPr>
      <w:r>
        <w:rPr>
          <w:rFonts w:ascii="Arial" w:cs="Arial" w:eastAsia="Arial" w:hAnsi="Arial"/>
          <w:sz w:val="24"/>
          <w:szCs w:val="24"/>
        </w:rPr>
        <w:t xml:space="preserve">13. Рекомендовать ОАО "Бишкектеплосеть", коммунальному предприятию "Бишкектеплоэнерго" мэрии города Бишкек, Ошскому муниципальному предприятию "Теплоснабжение":</w:t>
      </w:r>
    </w:p>
    <w:p>
      <w:pPr>
        <w:spacing w:after="60"/>
        <w:ind w:firstLine="567"/>
        <w:jc w:val="both"/>
      </w:pPr>
      <w:r>
        <w:rPr>
          <w:rFonts w:ascii="Arial" w:cs="Arial" w:eastAsia="Arial" w:hAnsi="Arial"/>
          <w:sz w:val="24"/>
          <w:szCs w:val="24"/>
        </w:rPr>
        <w:t xml:space="preserve">-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завершить ремонтные работы котельного оборудования и тепловых сетей до начала отопительного сезона 2019/2020 года.</w:t>
      </w:r>
    </w:p>
    <w:p>
      <w:pPr>
        <w:spacing w:after="60"/>
        <w:ind w:firstLine="567"/>
        <w:jc w:val="both"/>
      </w:pPr>
      <w:r>
        <w:rPr>
          <w:rFonts w:ascii="Arial" w:cs="Arial" w:eastAsia="Arial" w:hAnsi="Arial"/>
          <w:sz w:val="24"/>
          <w:szCs w:val="24"/>
        </w:rPr>
        <w:t xml:space="preserve">14. Государственному предприятию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в срок до 5 мая 2019 года представить в Государственное агентство антимонопольного регулирования при Правительстве Кыргызской Республики перечень угледобывающих компаний, осуществляющих поставку угля на предприятия топливно-энергетического комплекса Кыргызской Республики, для установления цен на уголь;</w:t>
      </w:r>
    </w:p>
    <w:p>
      <w:pPr>
        <w:spacing w:after="60"/>
        <w:ind w:firstLine="567"/>
        <w:jc w:val="both"/>
      </w:pPr>
      <w:r>
        <w:rPr>
          <w:rFonts w:ascii="Arial" w:cs="Arial" w:eastAsia="Arial" w:hAnsi="Arial"/>
          <w:sz w:val="24"/>
          <w:szCs w:val="24"/>
        </w:rPr>
        <w:t xml:space="preserve">- в целях своевременной подготовки к предстоящему осенне-зимнему периоду 2019/2020 года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w:t>
      </w:r>
    </w:p>
    <w:p>
      <w:pPr>
        <w:spacing w:after="60"/>
        <w:ind w:firstLine="567"/>
        <w:jc w:val="both"/>
      </w:pPr>
      <w:r>
        <w:rPr>
          <w:rFonts w:ascii="Arial" w:cs="Arial" w:eastAsia="Arial" w:hAnsi="Arial"/>
          <w:sz w:val="24"/>
          <w:szCs w:val="24"/>
        </w:rPr>
        <w:t xml:space="preserve">- обеспечить соответствие качества угля, поставляемого на ТЭЦ города Бишкек, техническим характеристикам, заданным ОАО "Электрические станции";</w:t>
      </w:r>
    </w:p>
    <w:p>
      <w:pPr>
        <w:spacing w:after="60"/>
        <w:ind w:firstLine="567"/>
        <w:jc w:val="both"/>
      </w:pPr>
      <w:r>
        <w:rPr>
          <w:rFonts w:ascii="Arial" w:cs="Arial" w:eastAsia="Arial" w:hAnsi="Arial"/>
          <w:sz w:val="24"/>
          <w:szCs w:val="24"/>
        </w:rPr>
        <w:t xml:space="preserve">- принять меры по созданию аттестованной лаборатории по анализу качества угля, поставляемого на ТЭЦ города Бишкек с Кавакского буроугольного бассейна.</w:t>
      </w:r>
    </w:p>
    <w:p>
      <w:pPr>
        <w:spacing w:after="60"/>
        <w:ind w:firstLine="567"/>
        <w:jc w:val="both"/>
      </w:pPr>
      <w:r>
        <w:rPr>
          <w:rFonts w:ascii="Arial" w:cs="Arial" w:eastAsia="Arial" w:hAnsi="Arial"/>
          <w:sz w:val="24"/>
          <w:szCs w:val="24"/>
        </w:rPr>
        <w:t xml:space="preserve">15. Рекомендовать ОАО "Кыргызнефтегаз" в кратчайший срок представить в Государственное агентство антимонопольного регулирования при Правительстве Кыргызской Республики расчетные материалы для установления цен на топочный мазут марки "М-100" для поставки на ТЭЦ города Ош, теплоснабжающим филиалам государственного предприятия "Кыргызтеплоэнерго" и войсковым частям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16. Рекомендовать ОАО "Национальная энергетическая холдинговая компания":</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принять меры по обеспечению бесперебойного снабжения электрической энергией потребителей республики;</w:t>
      </w:r>
    </w:p>
    <w:p>
      <w:pPr>
        <w:spacing w:after="60"/>
        <w:ind w:firstLine="567"/>
        <w:jc w:val="both"/>
      </w:pPr>
      <w:r>
        <w:rPr>
          <w:rFonts w:ascii="Arial" w:cs="Arial" w:eastAsia="Arial" w:hAnsi="Arial"/>
          <w:sz w:val="24"/>
          <w:szCs w:val="24"/>
        </w:rPr>
        <w:t xml:space="preserve">обеспечить в 2019 году снижение уровня потерь электрической энергии в электрических сетях: ОАО "Национальная электрическая сеть Кыргызстана" - до 5,6%, ОАО "Северэлектро" - до 11%, ОАО "Востокэлектро" - до 12,8%, ОАО "Ошэлектро" - до 11,4%, ОАО "Жалалабатэлектро" - до 11,4% и снижение дебиторской задолженности на 25%, без учета задолженности бюджетных потребителей и выплаты компенсаций за четвертый квартал 2019 года лицам, проживающим в условиях высокогорья и отдаленных труднодоступных зонах республики;</w:t>
      </w:r>
    </w:p>
    <w:p>
      <w:pPr>
        <w:spacing w:after="60"/>
        <w:ind w:firstLine="567"/>
        <w:jc w:val="both"/>
      </w:pPr>
      <w:r>
        <w:rPr>
          <w:rFonts w:ascii="Arial" w:cs="Arial" w:eastAsia="Arial" w:hAnsi="Arial"/>
          <w:sz w:val="24"/>
          <w:szCs w:val="24"/>
        </w:rPr>
        <w:t xml:space="preserve">- совместно с ОАО "Электрические станции", "Национальная электрическая сеть Кыргызстана", "Северэлектро", "Востокэлектро", "Ошэлектро", "Жалалабатэлектро" и "Чакан ГЭС" обеспечить выполнение плановых технико-экономических показателей на 2019 год, установленных Государственным агентством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ja481wtiondo1wve8vua">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Рекомендовать ОАО "Национальная электрическая сеть Кыргызстана", "Северэлектро", "Востокэлектро", "Ошэлектро", "Жалалабатэлектро", "Бишкектеплосеть" и ОсОО "Газпром Кыргызстан":</w:t>
      </w:r>
    </w:p>
    <w:p>
      <w:pPr>
        <w:spacing w:after="60"/>
        <w:ind w:firstLine="567"/>
        <w:jc w:val="both"/>
      </w:pPr>
      <w:r>
        <w:rPr>
          <w:rFonts w:ascii="Arial" w:cs="Arial" w:eastAsia="Arial" w:hAnsi="Arial"/>
          <w:sz w:val="24"/>
          <w:szCs w:val="24"/>
        </w:rPr>
        <w:t xml:space="preserve">- в установленном порядке принимать соответствующие меры в отношении потребителей, имеющих дебиторскую задолженность за электрическую и тепловую энергию и природный газ, и бюджетных организаций, допускающих перерасход утвержденных лимитов потребления электрической энергии, за исключением объектов здравоохранения,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 соединений, частей и учреждений Государственного комитета по делам обороны Кыргызской Республики и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w:t>
      </w:r>
      <w:hyperlink w:history="1" r:id="rIdmpisf4-tfkjcgem9v2jkn">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byikr4lzz8d3xsj0vs2m_">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"Кыргызтеплоэнерго" при Государственном комитете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2019/2020 года, с соблюдением взаимных гарантийных и иных обязательств.</w:t>
      </w:r>
    </w:p>
    <w:p>
      <w:pPr>
        <w:spacing w:after="60"/>
        <w:ind w:firstLine="567"/>
        <w:jc w:val="both"/>
      </w:pPr>
      <w:r>
        <w:rPr>
          <w:rFonts w:ascii="Arial" w:cs="Arial" w:eastAsia="Arial" w:hAnsi="Arial"/>
          <w:sz w:val="24"/>
          <w:szCs w:val="24"/>
        </w:rPr>
        <w:t xml:space="preserve">18. Рекомендовать ОАО "Газпром Кыргызстан":</w:t>
      </w:r>
    </w:p>
    <w:p>
      <w:pPr>
        <w:spacing w:after="60"/>
        <w:ind w:firstLine="567"/>
        <w:jc w:val="both"/>
      </w:pPr>
      <w:r>
        <w:rPr>
          <w:rFonts w:ascii="Arial" w:cs="Arial" w:eastAsia="Arial" w:hAnsi="Arial"/>
          <w:sz w:val="24"/>
          <w:szCs w:val="24"/>
        </w:rPr>
        <w:t xml:space="preserve">- обеспечить бесперебойную поставку природного газа для потребителей Кыргызской Республики в осенне-зимний период 2019/2020 года;</w:t>
      </w:r>
    </w:p>
    <w:p>
      <w:pPr>
        <w:spacing w:after="60"/>
        <w:ind w:firstLine="567"/>
        <w:jc w:val="both"/>
      </w:pPr>
      <w:r>
        <w:rPr>
          <w:rFonts w:ascii="Arial" w:cs="Arial" w:eastAsia="Arial" w:hAnsi="Arial"/>
          <w:sz w:val="24"/>
          <w:szCs w:val="24"/>
        </w:rPr>
        <w:t xml:space="preserve">- обеспечить выполнение Инвестиционной программы на 2019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 на ежемесячной основе представлять информацию об исполнении Инвестиционной программы на 2019 год в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19.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содействие ОсОО "Газпром Кыргызстан" в реализации Инвестиционной программы на 2019 год в рамках Генеральной схемы газоснабжения и газификации Кыргызской Республики до 2030 года.</w:t>
      </w:r>
    </w:p>
    <w:p>
      <w:pPr>
        <w:spacing w:after="60"/>
        <w:ind w:firstLine="567"/>
        <w:jc w:val="both"/>
      </w:pPr>
      <w:r>
        <w:rPr>
          <w:rFonts w:ascii="Arial" w:cs="Arial" w:eastAsia="Arial" w:hAnsi="Arial"/>
          <w:sz w:val="24"/>
          <w:szCs w:val="24"/>
        </w:rPr>
        <w:t xml:space="preserve">20. Рекомендовать ОАО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электроэнергии, и представить ОАО "Национальная электрическая сеть Кыргызстана".</w:t>
      </w:r>
    </w:p>
    <w:p>
      <w:pPr>
        <w:spacing w:after="60"/>
        <w:ind w:firstLine="567"/>
        <w:jc w:val="both"/>
      </w:pPr>
      <w:r>
        <w:rPr>
          <w:rFonts w:ascii="Arial" w:cs="Arial" w:eastAsia="Arial" w:hAnsi="Arial"/>
          <w:sz w:val="24"/>
          <w:szCs w:val="24"/>
        </w:rPr>
        <w:t xml:space="preserve">21. Признать утратившими силу:</w:t>
      </w:r>
    </w:p>
    <w:p>
      <w:pPr>
        <w:spacing w:after="60"/>
        <w:ind w:firstLine="567"/>
        <w:jc w:val="both"/>
      </w:pPr>
      <w:r>
        <w:rPr>
          <w:rFonts w:ascii="Arial" w:cs="Arial" w:eastAsia="Arial" w:hAnsi="Arial"/>
          <w:sz w:val="24"/>
          <w:szCs w:val="24"/>
        </w:rPr>
        <w:t xml:space="preserve">- </w:t>
      </w:r>
      <w:hyperlink w:history="1" r:id="rIdlfobpg27h3mgwevnhl7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2018/2019 года" от 22 мая 2018 года № 249;</w:t>
      </w:r>
    </w:p>
    <w:p>
      <w:pPr>
        <w:spacing w:after="60"/>
        <w:ind w:firstLine="567"/>
        <w:jc w:val="both"/>
      </w:pPr>
      <w:r>
        <w:rPr>
          <w:rFonts w:ascii="Arial" w:cs="Arial" w:eastAsia="Arial" w:hAnsi="Arial"/>
          <w:sz w:val="24"/>
          <w:szCs w:val="24"/>
        </w:rPr>
        <w:t xml:space="preserve">- </w:t>
      </w:r>
      <w:hyperlink w:history="1" r:id="rIdvtx96qft6bf1xtgst4w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подготовке отраслей экономики и населения Кыргызской Республики к осенне-зимнему периоду 2018/2019 года" от 8 октября 2018 года № 463.</w:t>
      </w:r>
    </w:p>
    <w:p>
      <w:pPr>
        <w:spacing w:after="60"/>
        <w:ind w:firstLine="567"/>
        <w:jc w:val="both"/>
      </w:pPr>
      <w:r>
        <w:rPr>
          <w:rFonts w:ascii="Arial" w:cs="Arial" w:eastAsia="Arial" w:hAnsi="Arial"/>
          <w:sz w:val="24"/>
          <w:szCs w:val="24"/>
        </w:rPr>
        <w:t xml:space="preserve">22.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17 мая 2019 года N 40</w:t>
      </w:r>
    </w:p>
    <w:p>
      <w:pPr>
        <w:spacing w:after="60"/>
        <w:ind w:firstLine="567"/>
        <w:jc w:val="both"/>
      </w:pPr>
      <w:r>
        <w:rPr>
          <w:rFonts w:ascii="Arial" w:cs="Arial" w:eastAsia="Arial" w:hAnsi="Arial"/>
          <w:sz w:val="24"/>
          <w:szCs w:val="24"/>
        </w:rPr>
        <w:t xml:space="preserve">23.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393"/>
        <w:gridCol w:w="1276"/>
        <w:gridCol w:w="423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4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мэрии городов Бишкек и Ош, предприятия ТЭК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2019 года и I квартал 2020 года на основе прогноза и ожидаемого объема электропотребления</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2019 года)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"Национальная энергетическая холдинговая компания",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"НЭС Кыргызстана"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с установлением разрешенной к потреблению мощности по каждому присоединению, подключенному к подстанциям ОАО "НЭС Кыргызстана"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октября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Согласно графику ремонта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обеспечить его выполнение</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заключенным контрактам;</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в целях предотвращения возникновения аварийной ситуации в энергосистеме или для разгрузки перегружаемых линий и трансформаторов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графиками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технических условий у потребителей, имеющих трехфазный ввод</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2-11 к настоящему постановлению</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своевременно и в полном объеме оплату за потребленную бюджетными организациями электрическую и тепловую энергию и природный газ</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и тепловой энергии и природного газа потребителям при наличии дебиторской задолженности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 осенне-зимний период 2019/2020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2019 года по 1 марта 2020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Принимать меры по обеспечению бесперебойной отгрузки угля на угольных разрезах для обеспечения углем населения и бюджетных учреждений республики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1 августа 2019 года по 1 марта 2020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ГКДО, (по согласованию): ОАО "НЭС Кыргызстана", ОАО "Северэлектро", ОАО "Ошэлектро", ОАО "Востокэлектро", ОАО "Жалалабатэлектро"</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задолженности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ПППКР в областях, по согласованию: мэрии городов Бишкек и Ош, предприятия ТЭК, ОАО "Национальная энергетическая холдинговая компания"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повышению надежности работы ТЭЦ города Бишкек в осенне-зимний период 2019/2020 года:</w:t>
            </w:r>
          </w:p>
          <w:p>
            <w:pPr>
              <w:jc w:val="left"/>
            </w:pPr>
            <w:r>
              <w:rPr>
                <w:rFonts w:ascii="Arial" w:cs="Arial" w:eastAsia="Arial" w:hAnsi="Arial"/>
                <w:sz w:val="24"/>
                <w:szCs w:val="24"/>
              </w:rPr>
              <w:t xml:space="preserve">- провести запланированные объемы работ по ремонту основного и вспомогательного оборудования;</w:t>
            </w:r>
          </w:p>
          <w:p>
            <w:pPr>
              <w:jc w:val="left"/>
            </w:pPr>
            <w:r>
              <w:rPr>
                <w:rFonts w:ascii="Arial" w:cs="Arial" w:eastAsia="Arial" w:hAnsi="Arial"/>
                <w:sz w:val="24"/>
                <w:szCs w:val="24"/>
              </w:rPr>
              <w:t xml:space="preserve">- разработать и внедрить систему обогрева импульсных линий котлотурбоагрегатов;</w:t>
            </w:r>
          </w:p>
          <w:p>
            <w:pPr>
              <w:jc w:val="left"/>
            </w:pPr>
            <w:r>
              <w:rPr>
                <w:rFonts w:ascii="Arial" w:cs="Arial" w:eastAsia="Arial" w:hAnsi="Arial"/>
                <w:sz w:val="24"/>
                <w:szCs w:val="24"/>
              </w:rPr>
              <w:t xml:space="preserve">- усовершенствовать работу КИП и автоматики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ноября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(по согласованию)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следующие меры по обеспечению стабильного прохождения отопительного периода 2019/2020 года:</w:t>
            </w:r>
          </w:p>
          <w:p>
            <w:pPr>
              <w:jc w:val="left"/>
            </w:pPr>
            <w:r>
              <w:rPr>
                <w:rFonts w:ascii="Arial" w:cs="Arial" w:eastAsia="Arial" w:hAnsi="Arial"/>
                <w:sz w:val="24"/>
                <w:szCs w:val="24"/>
              </w:rPr>
              <w:t xml:space="preserve">- провести замену основного оборудования ОРУ-500 кВ Токтогульской ГЭС;</w:t>
            </w:r>
          </w:p>
          <w:p>
            <w:pPr>
              <w:jc w:val="left"/>
            </w:pPr>
            <w:r>
              <w:rPr>
                <w:rFonts w:ascii="Arial" w:cs="Arial" w:eastAsia="Arial" w:hAnsi="Arial"/>
                <w:sz w:val="24"/>
                <w:szCs w:val="24"/>
              </w:rPr>
              <w:t xml:space="preserve">- провести замену двух силовых трансформатора на Ат-Башинской ГЭС;</w:t>
            </w:r>
          </w:p>
          <w:p>
            <w:pPr>
              <w:jc w:val="left"/>
            </w:pPr>
            <w:r>
              <w:rPr>
                <w:rFonts w:ascii="Arial" w:cs="Arial" w:eastAsia="Arial" w:hAnsi="Arial"/>
                <w:sz w:val="24"/>
                <w:szCs w:val="24"/>
              </w:rPr>
              <w:t xml:space="preserve">- завершить строительство ПС 110 кВ "Бишкек";</w:t>
            </w:r>
          </w:p>
          <w:p>
            <w:pPr>
              <w:jc w:val="left"/>
            </w:pPr>
            <w:r>
              <w:rPr>
                <w:rFonts w:ascii="Arial" w:cs="Arial" w:eastAsia="Arial" w:hAnsi="Arial"/>
                <w:sz w:val="24"/>
                <w:szCs w:val="24"/>
              </w:rPr>
              <w:t xml:space="preserve">- осуществить строительство 2-й очереди ПС 110 кВ "Таш-Булак", 3-й очереди ПС 110 кВ "Центр", 3-й очереди ПС 110 кВ "Промышленная" и реконструкцию на 5-ти ПС 110 кВ</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ноября 2019 года</w:t>
            </w:r>
          </w:p>
        </w:tc>
        <w:tc>
          <w:tcPr>
            <w:tcW w:type="dxa" w:w="4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"Национальная энергетическая холдинговая компания", ОАО "Электрические станции", ОАО "НЭС Кыргызстана" (по согласованию)</w:t>
            </w:r>
          </w:p>
        </w:tc>
      </w:tr>
    </w:tbl>
    <w:p>
      <w:pPr>
        <w:spacing w:after="120" w:before="12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Гидроэлектростанции;</w:t>
      </w:r>
    </w:p>
    <w:p>
      <w:pPr>
        <w:tabs>
          <w:tab w:val="right" w:pos="10178"/>
        </w:tabs>
        <w:spacing w:after="120"/>
      </w:pPr>
      <w:r>
        <w:rPr>
          <w:rFonts w:ascii="Arial" w:cs="Arial" w:eastAsia="Arial" w:hAnsi="Arial"/>
          <w:b/>
          <w:bCs/>
          <w:sz w:val="24"/>
          <w:szCs w:val="24"/>
        </w:rPr>
        <w:t xml:space="preserve">ГКДО</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ГКПЭН</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КИП</w:t>
      </w:r>
      <w:r>
        <w:rPr>
          <w:rFonts w:ascii="Arial" w:cs="Arial" w:eastAsia="Arial" w:hAnsi="Arial"/>
          <w:sz w:val="24"/>
          <w:szCs w:val="24"/>
        </w:rPr>
        <w:t xml:space="preserve">	</w:t>
      </w:r>
      <w:r>
        <w:rPr>
          <w:rFonts w:ascii="Arial" w:cs="Arial" w:eastAsia="Arial" w:hAnsi="Arial"/>
          <w:sz w:val="24"/>
          <w:szCs w:val="24"/>
        </w:rPr>
        <w:t xml:space="preserve">контрольно-измерительные приборы;</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ОРУ</w:t>
      </w:r>
      <w:r>
        <w:rPr>
          <w:rFonts w:ascii="Arial" w:cs="Arial" w:eastAsia="Arial" w:hAnsi="Arial"/>
          <w:sz w:val="24"/>
          <w:szCs w:val="24"/>
        </w:rPr>
        <w:t xml:space="preserve">	</w:t>
      </w:r>
      <w:r>
        <w:rPr>
          <w:rFonts w:ascii="Arial" w:cs="Arial" w:eastAsia="Arial" w:hAnsi="Arial"/>
          <w:sz w:val="24"/>
          <w:szCs w:val="24"/>
        </w:rPr>
        <w:t xml:space="preserve">открытое распределительное устройство;</w:t>
      </w:r>
    </w:p>
    <w:p>
      <w:pPr>
        <w:tabs>
          <w:tab w:val="right" w:pos="10178"/>
        </w:tabs>
        <w:spacing w:after="120"/>
      </w:pPr>
      <w:r>
        <w:rPr>
          <w:rFonts w:ascii="Arial" w:cs="Arial" w:eastAsia="Arial" w:hAnsi="Arial"/>
          <w:b/>
          <w:bCs/>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подстанция;</w:t>
      </w:r>
    </w:p>
    <w:p>
      <w:pPr>
        <w:tabs>
          <w:tab w:val="right" w:pos="10178"/>
        </w:tabs>
        <w:spacing w:after="120"/>
      </w:pPr>
      <w:r>
        <w:rPr>
          <w:rFonts w:ascii="Arial" w:cs="Arial" w:eastAsia="Arial" w:hAnsi="Arial"/>
          <w:b/>
          <w:bCs/>
          <w:sz w:val="24"/>
          <w:szCs w:val="24"/>
        </w:rPr>
        <w:t xml:space="preserve">ТЭК</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комплекс.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1g8bp7c8azh2fpsnkn70">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453"/>
        <w:gridCol w:w="664"/>
        <w:gridCol w:w="639"/>
        <w:gridCol w:w="639"/>
        <w:gridCol w:w="639"/>
        <w:gridCol w:w="639"/>
        <w:gridCol w:w="639"/>
        <w:gridCol w:w="639"/>
        <w:gridCol w:w="639"/>
        <w:gridCol w:w="639"/>
        <w:gridCol w:w="639"/>
        <w:gridCol w:w="615"/>
        <w:gridCol w:w="615"/>
        <w:gridCol w:w="615"/>
      </w:tblGrid>
      <w:tr>
        <w:tc>
          <w:tcPr>
            <w:tcW w:type="dxa" w:w="4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5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8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2070,552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132,658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122,667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115,630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129,963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126,765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108,593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157,159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226,975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259,649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266,864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234,056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189,574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1702,368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99,164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130,654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193,584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223,106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196,915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154,972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251,920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23,823</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55,205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0,394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2,839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Ошской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hq_0sdr8fpmv3er4j44h">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1478"/>
        <w:gridCol w:w="676"/>
        <w:gridCol w:w="623"/>
        <w:gridCol w:w="623"/>
        <w:gridCol w:w="623"/>
        <w:gridCol w:w="623"/>
        <w:gridCol w:w="623"/>
        <w:gridCol w:w="623"/>
        <w:gridCol w:w="623"/>
        <w:gridCol w:w="623"/>
        <w:gridCol w:w="623"/>
        <w:gridCol w:w="650"/>
        <w:gridCol w:w="650"/>
        <w:gridCol w:w="650"/>
      </w:tblGrid>
      <w:tr>
        <w:tc>
          <w:tcPr>
            <w:tcW w:type="dxa" w:w="4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1287,961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74,639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79,532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80,490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114,641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146,318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146,427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131,806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121,767</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1117,678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134,408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135,402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119,182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107,512</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130,081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3,758</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145,505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8,472</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Ош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axulzfnpflnyfox4yvef">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1307"/>
        <w:gridCol w:w="690"/>
        <w:gridCol w:w="635"/>
        <w:gridCol w:w="635"/>
        <w:gridCol w:w="635"/>
        <w:gridCol w:w="635"/>
        <w:gridCol w:w="635"/>
        <w:gridCol w:w="635"/>
        <w:gridCol w:w="635"/>
        <w:gridCol w:w="635"/>
        <w:gridCol w:w="635"/>
        <w:gridCol w:w="662"/>
        <w:gridCol w:w="662"/>
        <w:gridCol w:w="662"/>
      </w:tblGrid>
      <w:tr>
        <w:tc>
          <w:tcPr>
            <w:tcW w:type="dxa" w:w="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50,415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80,862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122,820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137,435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138,848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125,839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109,069</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942,749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125,290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127,404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114,865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98,921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0,0346</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Баткенской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w7z1-c7ln_yswaifxcxi">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305"/>
        <w:gridCol w:w="627"/>
        <w:gridCol w:w="646"/>
        <w:gridCol w:w="646"/>
        <w:gridCol w:w="646"/>
        <w:gridCol w:w="646"/>
        <w:gridCol w:w="646"/>
        <w:gridCol w:w="646"/>
        <w:gridCol w:w="646"/>
        <w:gridCol w:w="646"/>
        <w:gridCol w:w="646"/>
        <w:gridCol w:w="649"/>
        <w:gridCol w:w="649"/>
        <w:gridCol w:w="64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4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919,953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62,328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54,915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65,531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61,883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79,112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99,739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94,118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84,891</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714,676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36,741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37,931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89,576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90,456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80,642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69,504</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176,610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28,653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12,995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0,298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0,464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0,750</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0,442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r>
      <w:tr>
        <w:tc>
          <w:tcPr>
            <w:tcW w:type="dxa" w:w="4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0,745</w:t>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Чуйской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qguvfkhzrzfy01_k8ff0">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1444"/>
        <w:gridCol w:w="660"/>
        <w:gridCol w:w="635"/>
        <w:gridCol w:w="635"/>
        <w:gridCol w:w="635"/>
        <w:gridCol w:w="635"/>
        <w:gridCol w:w="635"/>
        <w:gridCol w:w="635"/>
        <w:gridCol w:w="635"/>
        <w:gridCol w:w="635"/>
        <w:gridCol w:w="635"/>
        <w:gridCol w:w="635"/>
        <w:gridCol w:w="635"/>
        <w:gridCol w:w="635"/>
      </w:tblGrid>
      <w:tr>
        <w:tc>
          <w:tcPr>
            <w:tcW w:type="dxa" w:w="4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1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3797,849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252,334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217,806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216,931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217,388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312,684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373,281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428,430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451,235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412,695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416,882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2713,666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314,496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777,687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72,084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305,799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0,697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318,970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0,307</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0,148</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Таласской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fgkeekym6evgs4tippdz">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521,767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32,270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25,454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29,921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56,011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65,156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68,309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63,251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61,009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434,230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58,665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53,785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52,028</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63,869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2,469</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городу Бишкек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swhdgajsc9vevl6pgv2i">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
        <w:gridCol w:w="1450"/>
        <w:gridCol w:w="660"/>
        <w:gridCol w:w="634"/>
        <w:gridCol w:w="634"/>
        <w:gridCol w:w="634"/>
        <w:gridCol w:w="634"/>
        <w:gridCol w:w="634"/>
        <w:gridCol w:w="634"/>
        <w:gridCol w:w="634"/>
        <w:gridCol w:w="634"/>
        <w:gridCol w:w="634"/>
        <w:gridCol w:w="634"/>
        <w:gridCol w:w="634"/>
        <w:gridCol w:w="634"/>
      </w:tblGrid>
      <w:tr>
        <w:tc>
          <w:tcPr>
            <w:tcW w:type="dxa" w:w="4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 энергии по городу,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3707,118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248,958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226,922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214,640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201,297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193,332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190,674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295,007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475,171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435,06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412,221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2778,428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189,639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223,857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311,044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588,007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54,435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52,586</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79,628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260,690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38,554</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0,499</w:t>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r>
      <w:tr>
        <w:tc>
          <w:tcPr>
            <w:vMerge w:val="continue"/>
            <w:tcBorders>
              <w:top w:val="none" w:color="auto" w:sz="0"/>
              <w:left w:val="single" w:color="CBBF9E" w:sz="4"/>
              <w:bottom w:val="single" w:color="CBBF9E" w:sz="4"/>
              <w:right w:val="single" w:color="CBBF9E" w:sz="4"/>
            </w:tcBorders>
          </w:tcPr>
          <w:p/>
        </w:tc>
        <w:tc>
          <w:tcPr>
            <w:tcW w:type="dxa" w:w="1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Нарынской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32v5732p3ujolob-pzif6">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504"/>
        <w:gridCol w:w="617"/>
        <w:gridCol w:w="634"/>
        <w:gridCol w:w="634"/>
        <w:gridCol w:w="634"/>
        <w:gridCol w:w="634"/>
        <w:gridCol w:w="634"/>
        <w:gridCol w:w="634"/>
        <w:gridCol w:w="634"/>
        <w:gridCol w:w="634"/>
        <w:gridCol w:w="634"/>
        <w:gridCol w:w="637"/>
        <w:gridCol w:w="637"/>
        <w:gridCol w:w="637"/>
      </w:tblGrid>
      <w:tr>
        <w:tc>
          <w:tcPr>
            <w:tcW w:type="dxa" w:w="4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0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91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663,637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81,528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637,919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38,111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79,960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0,247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0,138</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"Электрические станции" (МВт)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0,473</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0,136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7</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0,217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0,0424</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0,450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0,525</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0,098</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1,391</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0,232</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2,102</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Иссык-Кульской области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dal6dp-x5kf7-idiqlfa">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
        <w:gridCol w:w="1467"/>
        <w:gridCol w:w="672"/>
        <w:gridCol w:w="618"/>
        <w:gridCol w:w="618"/>
        <w:gridCol w:w="618"/>
        <w:gridCol w:w="618"/>
        <w:gridCol w:w="618"/>
        <w:gridCol w:w="618"/>
        <w:gridCol w:w="618"/>
        <w:gridCol w:w="618"/>
        <w:gridCol w:w="618"/>
        <w:gridCol w:w="645"/>
        <w:gridCol w:w="645"/>
        <w:gridCol w:w="645"/>
      </w:tblGrid>
      <w:tr>
        <w:tc>
          <w:tcPr>
            <w:tcW w:type="dxa" w:w="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1531,668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100,977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92,320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82,531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92,078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92,614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83,627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118,119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184,639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194,038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174,494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153,697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1087,149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137,500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299,753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0,787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0,785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0,262</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0,337</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0,578</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Кыргызской Республике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2wo5yk-0wtzqvraz31e3x">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
        <w:gridCol w:w="1401"/>
        <w:gridCol w:w="705"/>
        <w:gridCol w:w="623"/>
        <w:gridCol w:w="623"/>
        <w:gridCol w:w="623"/>
        <w:gridCol w:w="623"/>
        <w:gridCol w:w="623"/>
        <w:gridCol w:w="623"/>
        <w:gridCol w:w="623"/>
        <w:gridCol w:w="623"/>
        <w:gridCol w:w="623"/>
        <w:gridCol w:w="653"/>
        <w:gridCol w:w="653"/>
        <w:gridCol w:w="653"/>
      </w:tblGrid>
      <w:tr>
        <w:tc>
          <w:tcPr>
            <w:tcW w:type="dxa" w:w="5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7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6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5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15532,547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1060,001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868,551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897,962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880,663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841,779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1248,888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1625,937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1835,641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1932,070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1752,844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1622,671</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РЭК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12128,863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647,824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633,478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973,887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1308,410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1499,069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1571,125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1406,954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1291,477</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1873,557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169,274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167,698</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299,753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889,304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90,156</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0,385</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337,767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52,751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47,076</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с учетом транзитных потерь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2562</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 (МВт)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1124,074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12,147</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15,436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p>
            <w:pPr>
              <w:jc w:val="center"/>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96,225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0,818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0,257</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НПО при МОН,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республиканский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25,884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50,146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"Кыргызтеплоэнерго",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169,000</w:t>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1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b/>
          <w:bCs/>
          <w:sz w:val="24"/>
          <w:szCs w:val="24"/>
        </w:rPr>
        <w:t xml:space="preserve">РЭК</w:t>
      </w:r>
      <w:r>
        <w:rPr>
          <w:rFonts w:ascii="Arial" w:cs="Arial" w:eastAsia="Arial" w:hAnsi="Arial"/>
          <w:sz w:val="24"/>
          <w:szCs w:val="24"/>
        </w:rPr>
        <w:t xml:space="preserve">	</w:t>
      </w:r>
      <w:r>
        <w:rPr>
          <w:rFonts w:ascii="Arial" w:cs="Arial" w:eastAsia="Arial" w:hAnsi="Arial"/>
          <w:sz w:val="24"/>
          <w:szCs w:val="24"/>
        </w:rPr>
        <w:t xml:space="preserve">распределительная электрическая компания;</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крупный промышленный потребитель;</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Национальные электрические сети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Минздрав</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ГК по делам обороны</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по делам обороны Кыргызской Республики;</w:t>
      </w:r>
    </w:p>
    <w:p>
      <w:pPr>
        <w:tabs>
          <w:tab w:val="right" w:pos="10178"/>
        </w:tabs>
        <w:spacing w:after="120"/>
      </w:pPr>
      <w:r>
        <w:rPr>
          <w:rFonts w:ascii="Arial" w:cs="Arial" w:eastAsia="Arial" w:hAnsi="Arial"/>
          <w:b/>
          <w:bCs/>
          <w:sz w:val="24"/>
          <w:szCs w:val="24"/>
        </w:rPr>
        <w:t xml:space="preserve">ГПС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p>
      <w:pPr>
        <w:tabs>
          <w:tab w:val="right" w:pos="10178"/>
        </w:tabs>
        <w:spacing w:after="120"/>
      </w:pPr>
      <w:r>
        <w:rPr>
          <w:rFonts w:ascii="Arial" w:cs="Arial" w:eastAsia="Arial" w:hAnsi="Arial"/>
          <w:b/>
          <w:bCs/>
          <w:sz w:val="24"/>
          <w:szCs w:val="24"/>
        </w:rPr>
        <w:t xml:space="preserve">Минтруда и соцразвития</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Агентство НПО при МОН</w:t>
      </w:r>
      <w:r>
        <w:rPr>
          <w:rFonts w:ascii="Arial" w:cs="Arial" w:eastAsia="Arial" w:hAnsi="Arial"/>
          <w:sz w:val="24"/>
          <w:szCs w:val="24"/>
        </w:rPr>
        <w:t xml:space="preserve">	</w:t>
      </w:r>
      <w:r>
        <w:rPr>
          <w:rFonts w:ascii="Arial" w:cs="Arial" w:eastAsia="Arial" w:hAnsi="Arial"/>
          <w:sz w:val="24"/>
          <w:szCs w:val="24"/>
        </w:rPr>
        <w:t xml:space="preserve">Агентство начального профессионального образования при Министерстве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тепловая электрическая централь.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ОАО "Национальная энергетическая холдинговая компания", ГП "Кыргызкомур", ОсОО "Газпром Кыргызстан", ОАО "Кыргызнефтегаз", ОАО "Электрические станции" по поставке угля, природного газа и топочного мазута на тепловые электростанции ОАО "Электрические станции" для подготовки к осенне-зимнему периоду 2019/2020 года</w:t>
      </w:r>
    </w:p>
    <w:p>
      <w:pPr>
        <w:spacing w:after="60"/>
        <w:ind w:firstLine="567"/>
        <w:jc w:val="right"/>
      </w:pPr>
      <w:r>
        <w:rPr>
          <w:rFonts w:ascii="Arial" w:cs="Arial" w:eastAsia="Arial" w:hAnsi="Arial"/>
          <w:sz w:val="24"/>
          <w:szCs w:val="24"/>
        </w:rPr>
        <w:t xml:space="preserve">(уголь, топочный мазут - тыс. тонн, природный газ - млн. куб. 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686"/>
        <w:gridCol w:w="708"/>
        <w:gridCol w:w="443"/>
        <w:gridCol w:w="443"/>
        <w:gridCol w:w="443"/>
        <w:gridCol w:w="443"/>
        <w:gridCol w:w="443"/>
        <w:gridCol w:w="443"/>
        <w:gridCol w:w="443"/>
        <w:gridCol w:w="443"/>
        <w:gridCol w:w="443"/>
        <w:gridCol w:w="443"/>
        <w:gridCol w:w="443"/>
        <w:gridCol w:w="443"/>
        <w:gridCol w:w="443"/>
        <w:gridCol w:w="443"/>
        <w:gridCol w:w="443"/>
        <w:gridCol w:w="443"/>
        <w:gridCol w:w="946"/>
      </w:tblGrid>
      <w:tr>
        <w:tc>
          <w:tcPr>
            <w:tcW w:type="dxa" w:w="7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01.04.2019 г.</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w:t>
            </w:r>
            <w:r>
              <w:rPr>
                <w:rFonts w:ascii="Arial" w:cs="Arial" w:eastAsia="Arial" w:hAnsi="Arial"/>
                <w:b/>
                <w:bCs/>
                <w:sz w:val="24"/>
                <w:szCs w:val="24"/>
              </w:rPr>
              <w:t xml:space="preserve">V</w:t>
            </w:r>
            <w:r>
              <w:rPr>
                <w:rFonts w:ascii="Arial" w:cs="Arial" w:eastAsia="Arial" w:hAnsi="Arial"/>
                <w:b/>
                <w:bCs/>
                <w:sz w:val="24"/>
                <w:szCs w:val="24"/>
              </w:rPr>
              <w:t xml:space="preserve"> кв. 2019 г. и в </w:t>
            </w:r>
            <w:r>
              <w:rPr>
                <w:rFonts w:ascii="Arial" w:cs="Arial" w:eastAsia="Arial" w:hAnsi="Arial"/>
                <w:b/>
                <w:bCs/>
                <w:sz w:val="24"/>
                <w:szCs w:val="24"/>
              </w:rPr>
              <w:t xml:space="preserve">I</w:t>
            </w:r>
            <w:r>
              <w:rPr>
                <w:rFonts w:ascii="Arial" w:cs="Arial" w:eastAsia="Arial" w:hAnsi="Arial"/>
                <w:b/>
                <w:bCs/>
                <w:sz w:val="24"/>
                <w:szCs w:val="24"/>
              </w:rPr>
              <w:t xml:space="preserve"> кв. 2020 г.</w:t>
            </w:r>
          </w:p>
        </w:tc>
        <w:tc>
          <w:tcPr>
            <w:tcW w:type="dxa" w:w="7088"/>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16"/>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77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7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марки М-100, ТКМ-16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кыргызской марки М-100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 НЭХК", ОсОО "ГК"</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города Бишкек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марка Д, ДГ, Г</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 угледо-бывающие</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марки М-100, ТКМ-16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города Ош</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Топочный мазут кыргызской марки М-100</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"КНГ", ОАО ЭС"</w:t>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ОАО "ЭС"</w:t>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b/>
          <w:bCs/>
          <w:sz w:val="24"/>
          <w:szCs w:val="24"/>
        </w:rPr>
        <w:t xml:space="preserve">ГКПЭН КР</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p>
      <w:pPr>
        <w:tabs>
          <w:tab w:val="right" w:pos="10178"/>
        </w:tabs>
        <w:spacing w:after="120"/>
      </w:pPr>
      <w:r>
        <w:rPr>
          <w:rFonts w:ascii="Arial" w:cs="Arial" w:eastAsia="Arial" w:hAnsi="Arial"/>
          <w:b/>
          <w:bCs/>
          <w:sz w:val="24"/>
          <w:szCs w:val="24"/>
        </w:rPr>
        <w:t xml:space="preserve">ОАО "НЭХК"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энергетическая холдинговая компания";</w:t>
      </w:r>
    </w:p>
    <w:p>
      <w:pPr>
        <w:tabs>
          <w:tab w:val="right" w:pos="10178"/>
        </w:tabs>
        <w:spacing w:after="120"/>
      </w:pPr>
      <w:r>
        <w:rPr>
          <w:rFonts w:ascii="Arial" w:cs="Arial" w:eastAsia="Arial" w:hAnsi="Arial"/>
          <w:b/>
          <w:bCs/>
          <w:sz w:val="24"/>
          <w:szCs w:val="24"/>
        </w:rPr>
        <w:t xml:space="preserve">ОАО "ЭС"</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"Электрические станции";</w:t>
      </w:r>
    </w:p>
    <w:p>
      <w:pPr>
        <w:tabs>
          <w:tab w:val="right" w:pos="10178"/>
        </w:tabs>
        <w:spacing w:after="120"/>
      </w:pPr>
      <w:r>
        <w:rPr>
          <w:rFonts w:ascii="Arial" w:cs="Arial" w:eastAsia="Arial" w:hAnsi="Arial"/>
          <w:b/>
          <w:bCs/>
          <w:sz w:val="24"/>
          <w:szCs w:val="24"/>
        </w:rPr>
        <w:t xml:space="preserve">ОсОО "ГК"</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 "Газпром Кыргызстан";</w:t>
      </w:r>
    </w:p>
    <w:p>
      <w:pPr>
        <w:tabs>
          <w:tab w:val="right" w:pos="10178"/>
        </w:tabs>
        <w:spacing w:after="120"/>
      </w:pPr>
      <w:r>
        <w:rPr>
          <w:rFonts w:ascii="Arial" w:cs="Arial" w:eastAsia="Arial" w:hAnsi="Arial"/>
          <w:b/>
          <w:bCs/>
          <w:sz w:val="24"/>
          <w:szCs w:val="24"/>
        </w:rPr>
        <w:t xml:space="preserve">ОАО "КНГ"</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"Кыргызнефтегаз";</w:t>
      </w:r>
    </w:p>
    <w:p>
      <w:pPr>
        <w:tabs>
          <w:tab w:val="right" w:pos="10178"/>
        </w:tabs>
        <w:spacing w:after="120"/>
      </w:pPr>
      <w:r>
        <w:rPr>
          <w:rFonts w:ascii="Arial" w:cs="Arial" w:eastAsia="Arial" w:hAnsi="Arial"/>
          <w:b/>
          <w:bCs/>
          <w:sz w:val="24"/>
          <w:szCs w:val="24"/>
        </w:rPr>
        <w:t xml:space="preserve">ГП "Кыргызкомур"</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ivqu4hmegnqucmppluli">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1054"/>
        <w:gridCol w:w="631"/>
        <w:gridCol w:w="631"/>
        <w:gridCol w:w="631"/>
        <w:gridCol w:w="631"/>
        <w:gridCol w:w="631"/>
        <w:gridCol w:w="631"/>
        <w:gridCol w:w="631"/>
        <w:gridCol w:w="631"/>
        <w:gridCol w:w="631"/>
        <w:gridCol w:w="630"/>
        <w:gridCol w:w="630"/>
        <w:gridCol w:w="630"/>
      </w:tblGrid>
      <w:tr>
        <w:tc>
          <w:tcPr>
            <w:tcW w:type="dxa" w:w="1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 и I кв. 2020 г.</w:t>
            </w:r>
          </w:p>
          <w:p>
            <w:pPr>
              <w:jc w:val="center"/>
            </w:pPr>
            <w:r>
              <w:rPr>
                <w:rFonts w:ascii="Arial" w:cs="Arial" w:eastAsia="Arial" w:hAnsi="Arial"/>
                <w:b/>
                <w:bCs/>
                <w:sz w:val="24"/>
                <w:szCs w:val="24"/>
              </w:rPr>
              <w:t xml:space="preserve">Всего</w:t>
            </w:r>
          </w:p>
        </w:tc>
        <w:tc>
          <w:tcPr>
            <w:tcW w:type="dxa" w:w="5679"/>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55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0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"Кыргызтеплоэнерго"</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Государственной пограничной службы Кыргызской Республики</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 Кыргызстана" и отпуска электроэнергии в электрические сети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1oy2c75nnm4vgzhvu0-x">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(млн</w:t>
      </w:r>
      <w:r>
        <w:rPr>
          <w:rFonts w:ascii="Arial" w:cs="Arial" w:eastAsia="Arial" w:hAnsi="Arial"/>
          <w:sz w:val="24"/>
          <w:szCs w:val="24"/>
        </w:rPr>
        <w:t xml:space="preserve">.</w:t>
      </w:r>
      <w:r>
        <w:rPr>
          <w:rFonts w:ascii="Arial" w:cs="Arial" w:eastAsia="Arial" w:hAnsi="Arial"/>
          <w:sz w:val="24"/>
          <w:szCs w:val="24"/>
        </w:rPr>
        <w:t xml:space="preserve">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9"/>
        <w:gridCol w:w="696"/>
        <w:gridCol w:w="696"/>
        <w:gridCol w:w="696"/>
        <w:gridCol w:w="696"/>
        <w:gridCol w:w="696"/>
        <w:gridCol w:w="696"/>
        <w:gridCol w:w="696"/>
        <w:gridCol w:w="918"/>
      </w:tblGrid>
      <w:tr>
        <w:tc>
          <w:tcPr>
            <w:tcW w:type="dxa" w:w="43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2"/>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I кв.</w:t>
            </w:r>
          </w:p>
        </w:tc>
      </w:tr>
      <w:tr>
        <w:tc>
          <w:tcPr>
            <w:vMerge w:val="continue"/>
            <w:tcBorders>
              <w:top w:val="single" w:color="CBBF9E" w:sz="4"/>
              <w:left w:val="single" w:color="CBBF9E" w:sz="4"/>
              <w:bottom w:val="single" w:color="CBBF9E" w:sz="4"/>
              <w:right w:val="single" w:color="CBBF9E" w:sz="4"/>
            </w:tcBorders>
          </w:tcP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vMerge w:val="continue"/>
            <w:tcBorders>
              <w:top w:val="single" w:color="CBBF9E" w:sz="4"/>
              <w:left w:val="none" w:color="auto" w:sz="0"/>
              <w:bottom w:val="single" w:color="CBBF9E" w:sz="4"/>
              <w:right w:val="single" w:color="CBBF9E" w:sz="4"/>
            </w:tcBorders>
          </w:tcP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млрд. куб.м</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880,73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864,43</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4856,1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2871,2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2792,9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10520,2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4542,1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15062,3</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ГЭС</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4333,7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2693,6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9787,7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13800,1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4604,4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1262,2</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Поступление электроэнергии в электрические сети ОАО "НЭС Кыргызстана",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2760,7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7407,8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10217,5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4549,1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14766,7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5094,1</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 электроэнергией,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270,27</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 электроэнергией,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564,9</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3906,1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6041,6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7899,0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11623,0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4203,7</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в сети РЭК,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3982,7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2184,8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6167,5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1891,7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8059,2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3780,8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11840,0</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4269,4</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2999,9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3903,5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5705,4</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265,7</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917,9</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489,2</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1844,5</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902,6</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943,8</w:t>
            </w:r>
          </w:p>
        </w:tc>
      </w:tr>
      <w:tr>
        <w:tc>
          <w:tcPr>
            <w:tcW w:type="dxa" w:w="4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 млн. кВтч</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292,1</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w:t>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1699,8</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по выработке электроэнергии и мощности на ТЭЦ города Бишкек на 2019 год и I квартал 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e2hnulyu0s6b4ligbgv1">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
        <w:gridCol w:w="338"/>
        <w:gridCol w:w="491"/>
        <w:gridCol w:w="491"/>
        <w:gridCol w:w="491"/>
        <w:gridCol w:w="491"/>
        <w:gridCol w:w="491"/>
        <w:gridCol w:w="491"/>
        <w:gridCol w:w="491"/>
        <w:gridCol w:w="491"/>
        <w:gridCol w:w="491"/>
        <w:gridCol w:w="491"/>
        <w:gridCol w:w="491"/>
        <w:gridCol w:w="491"/>
        <w:gridCol w:w="491"/>
        <w:gridCol w:w="491"/>
        <w:gridCol w:w="509"/>
        <w:gridCol w:w="509"/>
        <w:gridCol w:w="509"/>
        <w:gridCol w:w="509"/>
      </w:tblGrid>
      <w:tr>
        <w:tc>
          <w:tcPr>
            <w:tcW w:type="dxa" w:w="9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0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522,415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43,859</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28,202</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110,726</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99,360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529,680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1262,181</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704,400</w:t>
            </w:r>
          </w:p>
        </w:tc>
      </w:tr>
      <w:tr>
        <w:tc>
          <w:tcPr>
            <w:tcW w:type="dxa" w:w="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24"/>
          <w:szCs w:val="24"/>
        </w:rPr>
        <w:t xml:space="preserve">ЗАДАНИЕ</w:t>
      </w:r>
      <w:r>
        <w:rPr>
          <w:rFonts w:ascii="Arial" w:cs="Arial" w:eastAsia="Arial" w:hAnsi="Arial"/>
          <w:b/>
          <w:bCs/>
          <w:sz w:val="24"/>
          <w:szCs w:val="24"/>
        </w:rPr>
        <w:t xml:space="preserve">
 по выработке электроэнергии и мощности на ТЭЦ города Ош на 2019 год и I квартал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391"/>
        <w:gridCol w:w="483"/>
        <w:gridCol w:w="483"/>
        <w:gridCol w:w="483"/>
        <w:gridCol w:w="483"/>
        <w:gridCol w:w="483"/>
        <w:gridCol w:w="483"/>
        <w:gridCol w:w="483"/>
        <w:gridCol w:w="483"/>
        <w:gridCol w:w="483"/>
        <w:gridCol w:w="483"/>
        <w:gridCol w:w="483"/>
        <w:gridCol w:w="483"/>
        <w:gridCol w:w="483"/>
        <w:gridCol w:w="483"/>
        <w:gridCol w:w="491"/>
        <w:gridCol w:w="491"/>
        <w:gridCol w:w="491"/>
        <w:gridCol w:w="491"/>
      </w:tblGrid>
      <w:tr>
        <w:tc>
          <w:tcPr>
            <w:tcW w:type="dxa" w:w="1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62"/>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9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электрических и тепловых сетей к эксплуатации в осенне-зимний период 2019/2020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xbembvfxtdnihuvhdwai">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3094"/>
        <w:gridCol w:w="865"/>
        <w:gridCol w:w="688"/>
        <w:gridCol w:w="688"/>
        <w:gridCol w:w="688"/>
        <w:gridCol w:w="688"/>
        <w:gridCol w:w="688"/>
        <w:gridCol w:w="2235"/>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4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шт./тонн</w:t>
            </w:r>
          </w:p>
          <w:p>
            <w:pPr>
              <w:jc w:val="center"/>
            </w:pPr>
            <w:r>
              <w:rPr>
                <w:rFonts w:ascii="Arial" w:cs="Arial" w:eastAsia="Arial" w:hAnsi="Arial"/>
                <w:sz w:val="24"/>
                <w:szCs w:val="24"/>
              </w:rPr>
              <w:t xml:space="preserve">пара/ч</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74,102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шт./МВА</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116,669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64,680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58,290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662,8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65,612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91,834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и ОАО "Ошэлектро" по строительству и реконструкции ВЛ и КЛ 0,4-35 кВ, ТП 6-10/0,4 кВ в 2019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8nlc--sxict23f1k7k2x">
        <w:r>
          <w:rPr>
            <w:rFonts w:ascii="Arial" w:cs="Arial" w:eastAsia="Arial" w:hAnsi="Arial"/>
            <w:i/>
            <w:iCs/>
            <w:color w:val="1D4ED8"/>
            <w:sz w:val="24"/>
            <w:szCs w:val="24"/>
            <w:u w:val="single"/>
          </w:rPr>
          <w:t xml:space="preserve">14 октября 2019 года № 544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544"/>
        <w:gridCol w:w="818"/>
        <w:gridCol w:w="653"/>
        <w:gridCol w:w="653"/>
        <w:gridCol w:w="653"/>
        <w:gridCol w:w="653"/>
        <w:gridCol w:w="653"/>
        <w:gridCol w:w="2127"/>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5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2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1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514,03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54,49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652,99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52,69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326,18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271,78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35/10-0,4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0,4 кВ на СИП</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36,38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2-ой очереди на ПС-35/10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5625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2-ой очереди на ПС-35/10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6375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82,20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КЛ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69,48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ПС-35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 10-0,4 кВ</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78,98</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25,84</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35,92</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vMerge w:val="continue"/>
            <w:tcBorders>
              <w:top w:val="none" w:color="auto" w:sz="0"/>
              <w:left w:val="none" w:color="auto" w:sz="0"/>
              <w:bottom w:val="single" w:color="CBBF9E" w:sz="4"/>
              <w:right w:val="single" w:color="CBBF9E" w:sz="4"/>
            </w:tcBorders>
          </w:tcPr>
          <w:p/>
        </w:tc>
      </w:tr>
    </w:tbl>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4"/>
        <w:gridCol w:w="1319"/>
        <w:gridCol w:w="816"/>
        <w:gridCol w:w="816"/>
        <w:gridCol w:w="816"/>
        <w:gridCol w:w="816"/>
        <w:gridCol w:w="816"/>
        <w:gridCol w:w="816"/>
        <w:gridCol w:w="816"/>
        <w:gridCol w:w="816"/>
        <w:gridCol w:w="816"/>
      </w:tblGrid>
      <w:tr>
        <w:tc>
          <w:tcPr>
            <w:tcW w:type="dxa" w:w="15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года и I кв. 2020 года</w:t>
            </w:r>
          </w:p>
        </w:tc>
        <w:tc>
          <w:tcPr>
            <w:tcW w:type="dxa" w:w="734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24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 в том числе:</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"Кыргызтеплоэнерго"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1"/>
        <w:gridCol w:w="1343"/>
        <w:gridCol w:w="810"/>
        <w:gridCol w:w="810"/>
        <w:gridCol w:w="810"/>
        <w:gridCol w:w="810"/>
        <w:gridCol w:w="810"/>
        <w:gridCol w:w="810"/>
        <w:gridCol w:w="810"/>
        <w:gridCol w:w="810"/>
        <w:gridCol w:w="810"/>
      </w:tblGrid>
      <w:tr>
        <w:tc>
          <w:tcPr>
            <w:tcW w:type="dxa" w:w="1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2019 года и I кв. 2020 года</w:t>
            </w:r>
          </w:p>
        </w:tc>
        <w:tc>
          <w:tcPr>
            <w:tcW w:type="dxa" w:w="72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243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млн. м</w:t>
            </w: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5441"/>
        <w:gridCol w:w="717"/>
        <w:gridCol w:w="1549"/>
        <w:gridCol w:w="522"/>
        <w:gridCol w:w="522"/>
        <w:gridCol w:w="522"/>
        <w:gridCol w:w="522"/>
      </w:tblGrid>
      <w:tr>
        <w:tc>
          <w:tcPr>
            <w:tcW w:type="dxa" w:w="3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5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работ</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0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 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 ЭГС"</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b/>
                <w:bCs/>
                <w:sz w:val="24"/>
                <w:szCs w:val="24"/>
              </w:rPr>
              <w:t xml:space="preserve">Югтрангаз"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8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распределительным сетям ОсОО "Газпром Кыргызстан", в том числе:</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22650</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vMerge w:val="continue"/>
            <w:tcBorders>
              <w:top w:val="none" w:color="auto" w:sz="0"/>
              <w:left w:val="single" w:color="CBBF9E" w:sz="4"/>
              <w:bottom w:val="single" w:color="CBBF9E" w:sz="4"/>
              <w:right w:val="single" w:color="CBBF9E" w:sz="4"/>
            </w:tcBorders>
          </w:tcPr>
          <w:p/>
        </w:tc>
        <w:tc>
          <w:tcPr>
            <w:tcW w:type="dxa" w:w="5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"Кыргызтеплоэнерго", КП "Бишкектеплоэнерго" и Ошскому МП "Теплоснабжение" по подготовке отопительных котельных к осенне-зимнему периоду 2019/2020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8"/>
        <w:gridCol w:w="1525"/>
        <w:gridCol w:w="1221"/>
        <w:gridCol w:w="1221"/>
        <w:gridCol w:w="1221"/>
        <w:gridCol w:w="1221"/>
      </w:tblGrid>
      <w:tr>
        <w:tc>
          <w:tcPr>
            <w:tcW w:type="dxa" w:w="37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5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48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природном газе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топочном мазуте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"Кыргызтеплоэнерго", в том числе:</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76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 по республике:</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279</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8ednmpda61jmynhl7jzc">
      <w:r>
        <w:rPr>
          <w:rFonts w:ascii="Arial" w:cs="Arial" w:eastAsia="Arial" w:hAnsi="Arial"/>
          <w:color w:val="132D3F"/>
          <w:sz w:val="16"/>
          <w:szCs w:val="16"/>
          <w:u w:val="single"/>
        </w:rPr>
        <w:t xml:space="preserve">dalil.kg/document/14106</w:t>
      </w:r>
    </w:hyperlink>
  </w:p>
  <w:p>
    <w:pPr>
      <w:spacing w:after="0" w:before="40"/>
      <w:jc w:val="center"/>
    </w:pPr>
    <w:hyperlink w:history="1" r:id="rIdgolo0ntrds13e0zi5ee9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jwpm-kq9t3sdfqmd2er" Type="http://schemas.openxmlformats.org/officeDocument/2006/relationships/hyperlink" Target="https://dalil.kg/document/157780" TargetMode="External"/><Relationship Id="rIdlhpelruyypl-vdsplxwgs" Type="http://schemas.openxmlformats.org/officeDocument/2006/relationships/hyperlink" Target="https://dalil.kg/document/157202" TargetMode="External"/><Relationship Id="rId1-11qvmcsrifiwnmy12aa" Type="http://schemas.openxmlformats.org/officeDocument/2006/relationships/hyperlink" Target="https://dalil.kg/document/203685" TargetMode="External"/><Relationship Id="rIdqkhitco-x5mt4zejnt_2x" Type="http://schemas.openxmlformats.org/officeDocument/2006/relationships/hyperlink" Target="https://dalil.kg/document/14106#p1" TargetMode="External"/><Relationship Id="rId7ubckubhlz34f5j9zvw0b" Type="http://schemas.openxmlformats.org/officeDocument/2006/relationships/hyperlink" Target="https://dalil.kg/document/14106#p1" TargetMode="External"/><Relationship Id="rId-hzuacypohob7gn2vvxb8" Type="http://schemas.openxmlformats.org/officeDocument/2006/relationships/hyperlink" Target="https://dalil.kg/document/14106#p21" TargetMode="External"/><Relationship Id="rIdhxnbf-b2wkwbdq4mvckm-" Type="http://schemas.openxmlformats.org/officeDocument/2006/relationships/hyperlink" Target="https://dalil.kg/document/111125" TargetMode="External"/><Relationship Id="rIdksfhxv77684qrmnoxpxa7" Type="http://schemas.openxmlformats.org/officeDocument/2006/relationships/hyperlink" Target="https://dalil.kg/document/111855" TargetMode="External"/><Relationship Id="rIdkja481wtiondo1wve8vua" Type="http://schemas.openxmlformats.org/officeDocument/2006/relationships/hyperlink" Target="https://dalil.kg/document/157202" TargetMode="External"/><Relationship Id="rIdmpisf4-tfkjcgem9v2jkn" Type="http://schemas.openxmlformats.org/officeDocument/2006/relationships/hyperlink" Target="https://dalil.kg/document/14106#p2" TargetMode="External"/><Relationship Id="rIdbyikr4lzz8d3xsj0vs2m_" Type="http://schemas.openxmlformats.org/officeDocument/2006/relationships/hyperlink" Target="https://dalil.kg/document/14106#p11" TargetMode="External"/><Relationship Id="rIdlfobpg27h3mgwevnhl7d2" Type="http://schemas.openxmlformats.org/officeDocument/2006/relationships/hyperlink" Target="https://dalil.kg/document/11757" TargetMode="External"/><Relationship Id="rIdvtx96qft6bf1xtgst4wcg" Type="http://schemas.openxmlformats.org/officeDocument/2006/relationships/hyperlink" Target="https://dalil.kg/document/12681" TargetMode="External"/><Relationship Id="rIdn1g8bp7c8azh2fpsnkn70" Type="http://schemas.openxmlformats.org/officeDocument/2006/relationships/hyperlink" Target="https://dalil.kg/document/157202" TargetMode="External"/><Relationship Id="rIdohq_0sdr8fpmv3er4j44h" Type="http://schemas.openxmlformats.org/officeDocument/2006/relationships/hyperlink" Target="https://dalil.kg/document/157202" TargetMode="External"/><Relationship Id="rIdoaxulzfnpflnyfox4yvef" Type="http://schemas.openxmlformats.org/officeDocument/2006/relationships/hyperlink" Target="https://dalil.kg/document/157202" TargetMode="External"/><Relationship Id="rIdvw7z1-c7ln_yswaifxcxi" Type="http://schemas.openxmlformats.org/officeDocument/2006/relationships/hyperlink" Target="https://dalil.kg/document/157202" TargetMode="External"/><Relationship Id="rIdrqguvfkhzrzfy01_k8ff0" Type="http://schemas.openxmlformats.org/officeDocument/2006/relationships/hyperlink" Target="https://dalil.kg/document/157202" TargetMode="External"/><Relationship Id="rIdifgkeekym6evgs4tippdz" Type="http://schemas.openxmlformats.org/officeDocument/2006/relationships/hyperlink" Target="https://dalil.kg/document/157202" TargetMode="External"/><Relationship Id="rIdpswhdgajsc9vevl6pgv2i" Type="http://schemas.openxmlformats.org/officeDocument/2006/relationships/hyperlink" Target="https://dalil.kg/document/157202" TargetMode="External"/><Relationship Id="rId32v5732p3ujolob-pzif6" Type="http://schemas.openxmlformats.org/officeDocument/2006/relationships/hyperlink" Target="https://dalil.kg/document/157202" TargetMode="External"/><Relationship Id="rIdpdal6dp-x5kf7-idiqlfa" Type="http://schemas.openxmlformats.org/officeDocument/2006/relationships/hyperlink" Target="https://dalil.kg/document/157202" TargetMode="External"/><Relationship Id="rId2wo5yk-0wtzqvraz31e3x" Type="http://schemas.openxmlformats.org/officeDocument/2006/relationships/hyperlink" Target="https://dalil.kg/document/157202" TargetMode="External"/><Relationship Id="rIdbivqu4hmegnqucmppluli" Type="http://schemas.openxmlformats.org/officeDocument/2006/relationships/hyperlink" Target="https://dalil.kg/document/157202" TargetMode="External"/><Relationship Id="rIdn1oy2c75nnm4vgzhvu0-x" Type="http://schemas.openxmlformats.org/officeDocument/2006/relationships/hyperlink" Target="https://dalil.kg/document/157202" TargetMode="External"/><Relationship Id="rIdfe2hnulyu0s6b4ligbgv1" Type="http://schemas.openxmlformats.org/officeDocument/2006/relationships/hyperlink" Target="https://dalil.kg/document/157202" TargetMode="External"/><Relationship Id="rId6xbembvfxtdnihuvhdwai" Type="http://schemas.openxmlformats.org/officeDocument/2006/relationships/hyperlink" Target="https://dalil.kg/document/157202" TargetMode="External"/><Relationship Id="rIdi8nlc--sxict23f1k7k2x" Type="http://schemas.openxmlformats.org/officeDocument/2006/relationships/hyperlink" Target="https://dalil.kg/document/15720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8ednmpda61jmynhl7jzc" Type="http://schemas.openxmlformats.org/officeDocument/2006/relationships/hyperlink" Target="https://dalil.kg/document/14106" TargetMode="External"/><Relationship Id="rIdgolo0ntrds13e0zi5ee9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2026-09-24T13:58:31.983Z</dcterms:created>
  <dcterms:modified xsi:type="dcterms:W3CDTF">2026-09-24T13:58:31.983Z</dcterms:modified>
</cp:coreProperties>
</file>

<file path=docProps/custom.xml><?xml version="1.0" encoding="utf-8"?>
<Properties xmlns="http://schemas.openxmlformats.org/officeDocument/2006/custom-properties" xmlns:vt="http://schemas.openxmlformats.org/officeDocument/2006/docPropsVTypes"/>
</file>