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 июня 2019 года № 273</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запрете охоты на некоторые виды животных в Кыргызской Республике"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oeh2dtxeagzg5fcf3z2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wxhj1i_t75whgh3yochc5">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запрете охоты на некоторые виды животных в Кыргызской Республике", инициированный депутатами Жогорку Кенеша Кыргызской Республики Байбакпаевым Э.Дж., Токтошевым Э.Т., Акаевым Ж.К.</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 июня 2019 года № 273</w:t>
      </w:r>
    </w:p>
    <w:p>
      <w:pPr>
        <w:spacing w:after="400" w:before="400"/>
        <w:jc w:val="center"/>
      </w:pPr>
      <w:r>
        <w:rPr>
          <w:rFonts w:ascii="Arial" w:cs="Arial" w:eastAsia="Arial" w:hAnsi="Arial"/>
          <w:b/>
          <w:bCs/>
          <w:sz w:val="32"/>
          <w:szCs w:val="32"/>
        </w:rPr>
        <w:t xml:space="preserve">ЗАКЛЮЧЕНИЕ
 Правительства Кыргызской Республики на проект Закона Кыргызской Республики "О запрете охоты на некоторые виды животных в Кыргызской Республике"</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5xc7_3iqrnzszyx0rh6_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запрете охоты на некоторые виды животных в Кыргызской Республике" (далее - проект Закона), инициированный депутатами Жогорку Кенеша Кыргызской Республики Байбакпаевым Э.Дж., Токтошевым Э.Т., Акаевым Ж.К., приходит к следующему заключению.</w:t>
      </w:r>
    </w:p>
    <w:p>
      <w:pPr>
        <w:spacing w:after="60"/>
        <w:ind w:firstLine="567"/>
        <w:jc w:val="both"/>
      </w:pPr>
      <w:r>
        <w:rPr>
          <w:rFonts w:ascii="Arial" w:cs="Arial" w:eastAsia="Arial" w:hAnsi="Arial"/>
          <w:sz w:val="24"/>
          <w:szCs w:val="24"/>
        </w:rPr>
        <w:t xml:space="preserve">Представленным проектом Закона предлагается установить до 2030 года на всей территории Кыргызской Республики мораторий на охоту на некоторые виды животных (горный баран, горный козел, косуля, благородный олень - марал, кабан), находящихся в состоянии естественной свободы.</w:t>
      </w:r>
    </w:p>
    <w:p>
      <w:pPr>
        <w:spacing w:after="60"/>
        <w:ind w:firstLine="567"/>
        <w:jc w:val="both"/>
      </w:pPr>
      <w:r>
        <w:rPr>
          <w:rFonts w:ascii="Arial" w:cs="Arial" w:eastAsia="Arial" w:hAnsi="Arial"/>
          <w:sz w:val="24"/>
          <w:szCs w:val="24"/>
        </w:rPr>
        <w:t xml:space="preserve">Следует отметить, что ранее Правительством Кыргызской Республики постановлениями </w:t>
      </w:r>
      <w:hyperlink w:history="1" r:id="rIdkxnmwrda3hzrnmzsy1zxo">
        <w:r>
          <w:rPr>
            <w:rFonts w:ascii="Arial" w:cs="Arial" w:eastAsia="Arial" w:hAnsi="Arial"/>
            <w:color w:val="1D4ED8"/>
            <w:sz w:val="24"/>
            <w:szCs w:val="24"/>
            <w:u w:val="single"/>
          </w:rPr>
          <w:t xml:space="preserve">от 27 октября 2015 года № 737</w:t>
        </w:r>
      </w:hyperlink>
      <w:r>
        <w:rPr>
          <w:rFonts w:ascii="Arial" w:cs="Arial" w:eastAsia="Arial" w:hAnsi="Arial"/>
          <w:sz w:val="24"/>
          <w:szCs w:val="24"/>
        </w:rPr>
        <w:t xml:space="preserve"> и </w:t>
      </w:r>
      <w:hyperlink w:history="1" r:id="rId8b_gwhchfsezdowmd1bhc">
        <w:r>
          <w:rPr>
            <w:rFonts w:ascii="Arial" w:cs="Arial" w:eastAsia="Arial" w:hAnsi="Arial"/>
            <w:color w:val="1D4ED8"/>
            <w:sz w:val="24"/>
            <w:szCs w:val="24"/>
            <w:u w:val="single"/>
          </w:rPr>
          <w:t xml:space="preserve">от 14 октября 2016 года № 555</w:t>
        </w:r>
      </w:hyperlink>
      <w:r>
        <w:rPr>
          <w:rFonts w:ascii="Arial" w:cs="Arial" w:eastAsia="Arial" w:hAnsi="Arial"/>
          <w:sz w:val="24"/>
          <w:szCs w:val="24"/>
        </w:rPr>
        <w:t xml:space="preserve"> даны заключения на проект Закона Кыргызской Республики "О запрете охоты в Кыргызской Республике" о преждевременности принятия вышеуказанного законопроекта. Более того, при рассмотрении Жогорку Кенешем Кыргызской Республики законопроекты также были отклонены. Однако представленный законопроект инициирован без учета ранее приводимых доводов.</w:t>
      </w:r>
    </w:p>
    <w:p>
      <w:pPr>
        <w:spacing w:after="60"/>
        <w:ind w:firstLine="567"/>
        <w:jc w:val="both"/>
      </w:pPr>
      <w:r>
        <w:rPr>
          <w:rFonts w:ascii="Arial" w:cs="Arial" w:eastAsia="Arial" w:hAnsi="Arial"/>
          <w:sz w:val="24"/>
          <w:szCs w:val="24"/>
        </w:rPr>
        <w:t xml:space="preserve">Так, согласно справке-обоснованию к проекту Закона основной причиной введения запрета на охоту является ощутимое сокращение численности диких копытных животных за последние двадцать лет. Однако необходимые исследования (о влиянии различных факторов на сокращение численности диких копытных животных), как со стороны административных и научных органов, так и со стороны неправительственных организаций и независимых экспертов не проводились.</w:t>
      </w:r>
    </w:p>
    <w:p>
      <w:pPr>
        <w:spacing w:after="60"/>
        <w:ind w:firstLine="567"/>
        <w:jc w:val="both"/>
      </w:pPr>
      <w:r>
        <w:rPr>
          <w:rFonts w:ascii="Arial" w:cs="Arial" w:eastAsia="Arial" w:hAnsi="Arial"/>
          <w:sz w:val="24"/>
          <w:szCs w:val="24"/>
        </w:rPr>
        <w:t xml:space="preserve">При этом существует значительное количество ограничительных факторов (биологические особенности видов, наличие заболеваний животных, кормовые, климатические факторы, влияние различных направлений хозяйственной деятельности человека), естественно или искусственно сдерживающих рост численности животных, который даже при самых благополучных условиях не может быть бесконечным. Поэтому полагаем, что не произойдет существенного изменения в состоянии и численности объектов животного мира в республике без исключения или сокращения всех фактических и вероятных факторов негативного влияния на диких животных и среду их обитания.</w:t>
      </w:r>
    </w:p>
    <w:p>
      <w:pPr>
        <w:spacing w:after="60"/>
        <w:ind w:firstLine="567"/>
        <w:jc w:val="both"/>
      </w:pPr>
      <w:r>
        <w:rPr>
          <w:rFonts w:ascii="Arial" w:cs="Arial" w:eastAsia="Arial" w:hAnsi="Arial"/>
          <w:sz w:val="24"/>
          <w:szCs w:val="24"/>
        </w:rPr>
        <w:t xml:space="preserve">В настоящее время законная охота, при соблюдении установленных правил, норм и нормативов пользования объектами животного мира, не является причиной глобальных негативных изменений в состоянии ресурсов животного мира.</w:t>
      </w:r>
    </w:p>
    <w:p>
      <w:pPr>
        <w:spacing w:after="60"/>
        <w:ind w:firstLine="567"/>
        <w:jc w:val="both"/>
      </w:pPr>
      <w:r>
        <w:rPr>
          <w:rFonts w:ascii="Arial" w:cs="Arial" w:eastAsia="Arial" w:hAnsi="Arial"/>
          <w:sz w:val="24"/>
          <w:szCs w:val="24"/>
        </w:rPr>
        <w:t xml:space="preserve">Законная охота является одним из наиболее щадящих способов использования природных ресурсов, так как, в отличие от сельскохозяйственного освоения территорий, добычи полезных ископаемых и прочего, не требует коренного преобразования экосистем и таким образом полностью вписывается в "принцип зеленой экономики".</w:t>
      </w:r>
    </w:p>
    <w:p>
      <w:pPr>
        <w:spacing w:after="60"/>
        <w:ind w:firstLine="567"/>
        <w:jc w:val="both"/>
      </w:pPr>
      <w:r>
        <w:rPr>
          <w:rFonts w:ascii="Arial" w:cs="Arial" w:eastAsia="Arial" w:hAnsi="Arial"/>
          <w:sz w:val="24"/>
          <w:szCs w:val="24"/>
        </w:rPr>
        <w:t xml:space="preserve">При контролируемой и правильно организованной охоте объемы использования ресурсов животного мира не превышают их естественного ежегодного прироста.</w:t>
      </w:r>
    </w:p>
    <w:p>
      <w:pPr>
        <w:spacing w:after="60"/>
        <w:ind w:firstLine="567"/>
        <w:jc w:val="both"/>
      </w:pPr>
      <w:r>
        <w:rPr>
          <w:rFonts w:ascii="Arial" w:cs="Arial" w:eastAsia="Arial" w:hAnsi="Arial"/>
          <w:sz w:val="24"/>
          <w:szCs w:val="24"/>
        </w:rPr>
        <w:t xml:space="preserve">Для организации и проведения охоты ежегодно, по согласованию с Национальной академией наук Кыргызской Республики, устанавливается лимит на изъятие из природной среды следующих видов животных, обитающих только на территории охотничьих угодий охотпользователей (в год добываются примерно):</w:t>
      </w:r>
    </w:p>
    <w:p>
      <w:pPr>
        <w:spacing w:after="60"/>
        <w:ind w:firstLine="567"/>
        <w:jc w:val="both"/>
      </w:pPr>
      <w:r>
        <w:rPr>
          <w:rFonts w:ascii="Arial" w:cs="Arial" w:eastAsia="Arial" w:hAnsi="Arial"/>
          <w:sz w:val="24"/>
          <w:szCs w:val="24"/>
        </w:rPr>
        <w:t xml:space="preserve">- горный баран памирского подвида (в республике обитают три подвида горного барана - Памирский, Тянь-Шанский, Северцова, их общая численность составляет около 18,0 тыс. особей), из них разрешение дается только на памирский подвид от его общей численности (13,0-14,0 тыс. особей) в количестве 80 голов, что составляет около 0,5-0,6 процента;</w:t>
      </w:r>
    </w:p>
    <w:p>
      <w:pPr>
        <w:spacing w:after="60"/>
        <w:ind w:firstLine="567"/>
        <w:jc w:val="both"/>
      </w:pPr>
      <w:r>
        <w:rPr>
          <w:rFonts w:ascii="Arial" w:cs="Arial" w:eastAsia="Arial" w:hAnsi="Arial"/>
          <w:sz w:val="24"/>
          <w:szCs w:val="24"/>
        </w:rPr>
        <w:t xml:space="preserve">- горный козел (козерог) - в количестве 400-450 голов, что составляет около 1,0 процента от общей численности (40,0-45,0 тыс. особей);</w:t>
      </w:r>
    </w:p>
    <w:p>
      <w:pPr>
        <w:spacing w:after="60"/>
        <w:ind w:firstLine="567"/>
        <w:jc w:val="both"/>
      </w:pPr>
      <w:r>
        <w:rPr>
          <w:rFonts w:ascii="Arial" w:cs="Arial" w:eastAsia="Arial" w:hAnsi="Arial"/>
          <w:sz w:val="24"/>
          <w:szCs w:val="24"/>
        </w:rPr>
        <w:t xml:space="preserve">- сибирская косуля - в количестве 35-40 голов, что составляет около 0,8 процента от ее общей численности (4,3-4,5 тыс. особей);</w:t>
      </w:r>
    </w:p>
    <w:p>
      <w:pPr>
        <w:spacing w:after="60"/>
        <w:ind w:firstLine="567"/>
        <w:jc w:val="both"/>
      </w:pPr>
      <w:r>
        <w:rPr>
          <w:rFonts w:ascii="Arial" w:cs="Arial" w:eastAsia="Arial" w:hAnsi="Arial"/>
          <w:sz w:val="24"/>
          <w:szCs w:val="24"/>
        </w:rPr>
        <w:t xml:space="preserve">- кабан - в количестве 25-30 голов, что составляет около 0,5 процента от его общей численности (1970-1990 особей).</w:t>
      </w:r>
    </w:p>
    <w:p>
      <w:pPr>
        <w:spacing w:after="60"/>
        <w:ind w:firstLine="567"/>
        <w:jc w:val="both"/>
      </w:pPr>
      <w:r>
        <w:rPr>
          <w:rFonts w:ascii="Arial" w:cs="Arial" w:eastAsia="Arial" w:hAnsi="Arial"/>
          <w:sz w:val="24"/>
          <w:szCs w:val="24"/>
        </w:rPr>
        <w:t xml:space="preserve">Следует отметить, что охота на благородного оленя - марала была запрещена еще в шестидесятые годы XX века.</w:t>
      </w:r>
    </w:p>
    <w:p>
      <w:pPr>
        <w:spacing w:after="60"/>
        <w:ind w:firstLine="567"/>
        <w:jc w:val="both"/>
      </w:pPr>
      <w:r>
        <w:rPr>
          <w:rFonts w:ascii="Arial" w:cs="Arial" w:eastAsia="Arial" w:hAnsi="Arial"/>
          <w:sz w:val="24"/>
          <w:szCs w:val="24"/>
        </w:rPr>
        <w:t xml:space="preserve">Такое количество изъятия диких животных из природной среды, по оценке Национальной академии наук Кыргызской Республики, не оказывает существенного влияния на состояние их популяций.</w:t>
      </w:r>
    </w:p>
    <w:p>
      <w:pPr>
        <w:spacing w:after="60"/>
        <w:ind w:firstLine="567"/>
        <w:jc w:val="both"/>
      </w:pPr>
      <w:r>
        <w:rPr>
          <w:rFonts w:ascii="Arial" w:cs="Arial" w:eastAsia="Arial" w:hAnsi="Arial"/>
          <w:sz w:val="24"/>
          <w:szCs w:val="24"/>
        </w:rPr>
        <w:t xml:space="preserve">Именно хозяйствующие субъекты, осуществляющие деятельность в сфере пользования ресурсами животного мира и являющиеся охотпользователями, в первую очередь заинтересованы в сохранении и приумножении охотничьих ресурсов для их устойчивого использования.</w:t>
      </w:r>
    </w:p>
    <w:p>
      <w:pPr>
        <w:spacing w:after="60"/>
        <w:ind w:firstLine="567"/>
        <w:jc w:val="both"/>
      </w:pPr>
      <w:r>
        <w:rPr>
          <w:rFonts w:ascii="Arial" w:cs="Arial" w:eastAsia="Arial" w:hAnsi="Arial"/>
          <w:sz w:val="24"/>
          <w:szCs w:val="24"/>
        </w:rPr>
        <w:t xml:space="preserve">В последние годы проведена значительная работа по укреплению нормативной правовой основы регулирования общественных отношений в сфере охоты и охотничьего хозяйства, ужесточения условий и порядка получения права ведения охотхозяйственной деятельности (охотничьего хозяйства) на определенных охотничьих угодьях Кыргызской Республики.</w:t>
      </w:r>
    </w:p>
    <w:p>
      <w:pPr>
        <w:spacing w:after="60"/>
        <w:ind w:firstLine="567"/>
        <w:jc w:val="both"/>
      </w:pPr>
      <w:r>
        <w:rPr>
          <w:rFonts w:ascii="Arial" w:cs="Arial" w:eastAsia="Arial" w:hAnsi="Arial"/>
          <w:sz w:val="24"/>
          <w:szCs w:val="24"/>
        </w:rPr>
        <w:t xml:space="preserve">В 2014 году впервые за годы независимости Кыргызстана при участии Биолого-почвенного института Национальной академии наук Кыргызской Республики было проведено межхозяйственное охотустройство в сыртовых зонах Иссык-Кульской и Нарынской областей. В результате проведенных работ в сыртовой зоне Иссык-Кульской области выделено 18 участков охотничьих угодий, предназначенных для ведения охотхозяйственной деятельности (до этого на этой территории действовали 26 охотхозяйствующих субъектов); в Ак-Сайской и Арпинской долинах Нарынской области выделено 24 участка (до этого действовал 41 охотхозяйствующий субъект). В настоящее время иные территории охотничьих угодий республики также охвачены проведением межхозяйственного охотустройства, что позволит единым образом систематизировать охотхозяйственную деятельность в республике.</w:t>
      </w:r>
    </w:p>
    <w:p>
      <w:pPr>
        <w:spacing w:after="60"/>
        <w:ind w:firstLine="567"/>
        <w:jc w:val="both"/>
      </w:pPr>
      <w:r>
        <w:rPr>
          <w:rFonts w:ascii="Arial" w:cs="Arial" w:eastAsia="Arial" w:hAnsi="Arial"/>
          <w:sz w:val="24"/>
          <w:szCs w:val="24"/>
        </w:rPr>
        <w:t xml:space="preserve">После проведения (на конкурсной основе) межхозяйственного охотустройства 42 юридических лица получили охотничьи угодья в пользование (право ведения на них охотничьего хозяйства) сроком на 9 лет (по действующим тогда нормам). С учетом юридических лиц, ранее получивших охотничьи угодья, количество охотпользователей сегодня составляет 50 единиц (38 - частных, 9 - общественных и 3 - государственных) на общей площади охотничьих угодий в 14,7 млн. га, закрепленных соответственно за частными пользователями - 3,4 млн. га, за общественными - 4,5 млн. га и за государственными - 6,7 млн. га).</w:t>
      </w:r>
    </w:p>
    <w:p>
      <w:pPr>
        <w:spacing w:after="60"/>
        <w:ind w:firstLine="567"/>
        <w:jc w:val="both"/>
      </w:pPr>
      <w:r>
        <w:rPr>
          <w:rFonts w:ascii="Arial" w:cs="Arial" w:eastAsia="Arial" w:hAnsi="Arial"/>
          <w:sz w:val="24"/>
          <w:szCs w:val="24"/>
        </w:rPr>
        <w:t xml:space="preserve">Со стороны охотпользователей в настоящее время уже затрачены большие денежные средства на организацию охотхозяйственной деятельности, проведение внутрихозяйственного охотустройства, строительство охотхозяйственных сооружений (охотничьих лагерей, егерских кордонов, подсобных помещений), приобретение материально-технических средств, обустройство предоставленных в пользование охотничьих угодий, и неясно, кем будет осуществляться компенсация их затрат в случае введения моратория. А при отсутствии таких компенсационных выплат вероятными будут исковые требования со стороны охотпользователей.</w:t>
      </w:r>
    </w:p>
    <w:p>
      <w:pPr>
        <w:spacing w:after="60"/>
        <w:ind w:firstLine="567"/>
        <w:jc w:val="both"/>
      </w:pPr>
      <w:r>
        <w:rPr>
          <w:rFonts w:ascii="Arial" w:cs="Arial" w:eastAsia="Arial" w:hAnsi="Arial"/>
          <w:sz w:val="24"/>
          <w:szCs w:val="24"/>
        </w:rPr>
        <w:t xml:space="preserve">Для наибольшей конкретизации вопросов, связанных с регулированием отношений в сфере охоты, ведения охотничьего хозяйства, использования охотничьей продукции, </w:t>
      </w:r>
      <w:hyperlink w:history="1" r:id="rIdbwmjv4vjojbpq4hjfopv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2015 года № 143 утверждены </w:t>
      </w:r>
      <w:hyperlink w:history="1" r:id="rIdazjyy0p7spthuokrborbo">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охоты на территории Кыргызской Республики, сокращены сроки охоты на 2 месяца (январь и февраль) на диких копытных животных, таких, как горный баран, горный козел, косуля, кабан.</w:t>
      </w:r>
    </w:p>
    <w:p>
      <w:pPr>
        <w:spacing w:after="60"/>
        <w:ind w:firstLine="567"/>
        <w:jc w:val="both"/>
      </w:pPr>
      <w:hyperlink w:history="1" r:id="rIdpzar08p-c_ndvd9splwb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апреля 2017 года № 214 введены ограничения на специальное пользование бараном горным (архаром), козлом горным (козерогом), косулей, кабаном и уларом, на общий период с 2017 по 2026 год, с чередованием регионов через каждые три года, в том числе:</w:t>
      </w:r>
    </w:p>
    <w:p>
      <w:pPr>
        <w:spacing w:after="60"/>
        <w:ind w:firstLine="567"/>
        <w:jc w:val="both"/>
      </w:pPr>
      <w:r>
        <w:rPr>
          <w:rFonts w:ascii="Arial" w:cs="Arial" w:eastAsia="Arial" w:hAnsi="Arial"/>
          <w:sz w:val="24"/>
          <w:szCs w:val="24"/>
        </w:rPr>
        <w:t xml:space="preserve">- в Таласской и Джалал-Абадской областях, Аламудунском, Сокулукском, Жайылском и Кеминском районах Чуйской области - с 1 июля 2017 года по 1 июля 2020 года;</w:t>
      </w:r>
    </w:p>
    <w:p>
      <w:pPr>
        <w:spacing w:after="60"/>
        <w:ind w:firstLine="567"/>
        <w:jc w:val="both"/>
      </w:pPr>
      <w:r>
        <w:rPr>
          <w:rFonts w:ascii="Arial" w:cs="Arial" w:eastAsia="Arial" w:hAnsi="Arial"/>
          <w:sz w:val="24"/>
          <w:szCs w:val="24"/>
        </w:rPr>
        <w:t xml:space="preserve">- в Ошской и Баткенской областях, Чуйском, Ысык-Атинском, Московском и Панфиловском районах Чуйской области - с 1 июля 2020 года по 1 июля 2023 года;</w:t>
      </w:r>
    </w:p>
    <w:p>
      <w:pPr>
        <w:spacing w:after="60"/>
        <w:ind w:firstLine="567"/>
        <w:jc w:val="both"/>
      </w:pPr>
      <w:r>
        <w:rPr>
          <w:rFonts w:ascii="Arial" w:cs="Arial" w:eastAsia="Arial" w:hAnsi="Arial"/>
          <w:sz w:val="24"/>
          <w:szCs w:val="24"/>
        </w:rPr>
        <w:t xml:space="preserve">- в Иссык-Кульской и Нарынской областях - с 1 июля 2023 года по 1 июля 2026 года.</w:t>
      </w:r>
    </w:p>
    <w:p>
      <w:pPr>
        <w:spacing w:after="60"/>
        <w:ind w:firstLine="567"/>
        <w:jc w:val="both"/>
      </w:pPr>
      <w:r>
        <w:rPr>
          <w:rFonts w:ascii="Arial" w:cs="Arial" w:eastAsia="Arial" w:hAnsi="Arial"/>
          <w:sz w:val="24"/>
          <w:szCs w:val="24"/>
        </w:rPr>
        <w:t xml:space="preserve">Кроме того, на охотничьих угодьях, площадь которых составляет более 6,0 млн. га, не ведется охота (специальное пользование объектами животного мира), за исключением регулирования численности "вредных" зверей и птиц и добычи животных в санитарных и научных целях, до тех пор, пока по этим угодьям не будут определены охотпользователи.</w:t>
      </w:r>
    </w:p>
    <w:p>
      <w:pPr>
        <w:spacing w:after="60"/>
        <w:ind w:firstLine="567"/>
        <w:jc w:val="both"/>
      </w:pPr>
      <w:r>
        <w:rPr>
          <w:rFonts w:ascii="Arial" w:cs="Arial" w:eastAsia="Arial" w:hAnsi="Arial"/>
          <w:sz w:val="24"/>
          <w:szCs w:val="24"/>
        </w:rPr>
        <w:t xml:space="preserve">Большое воздействие на уменьшение объемов использования объектов животного мира оказало увеличение ставок платы за специальное пользование объектами животного мира в Кыргызской Республике в соответствии с </w:t>
      </w:r>
      <w:hyperlink w:history="1" r:id="rIdj9kmrbm66ygtbsplt53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5_ymyibmxtg4glex9wrje">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платы и </w:t>
      </w:r>
      <w:hyperlink w:history="1" r:id="rIdcfzbsrvpmw2jrxtp-mxbn">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взимания и использования платы за специальное пользование объектами животного мира в Кыргызской Республике" от 20 октября 2015 года № 715.</w:t>
      </w:r>
    </w:p>
    <w:p>
      <w:pPr>
        <w:spacing w:after="60"/>
        <w:ind w:firstLine="567"/>
        <w:jc w:val="both"/>
      </w:pPr>
      <w:r>
        <w:rPr>
          <w:rFonts w:ascii="Arial" w:cs="Arial" w:eastAsia="Arial" w:hAnsi="Arial"/>
          <w:sz w:val="24"/>
          <w:szCs w:val="24"/>
        </w:rPr>
        <w:t xml:space="preserve">К примеру, увеличение ставок платы от ранее действовавших составило:</w:t>
      </w:r>
    </w:p>
    <w:p>
      <w:pPr>
        <w:spacing w:after="60"/>
        <w:ind w:firstLine="567"/>
        <w:jc w:val="both"/>
      </w:pPr>
      <w:r>
        <w:rPr>
          <w:rFonts w:ascii="Arial" w:cs="Arial" w:eastAsia="Arial" w:hAnsi="Arial"/>
          <w:sz w:val="24"/>
          <w:szCs w:val="24"/>
        </w:rPr>
        <w:t xml:space="preserve">- за косули для спортивно-любительской охоты - было 8000 (восемь тысяч) сомов, установлено 15000 (пятнадцать тысяч) сомов;</w:t>
      </w:r>
    </w:p>
    <w:p>
      <w:pPr>
        <w:spacing w:after="60"/>
        <w:ind w:firstLine="567"/>
        <w:jc w:val="both"/>
      </w:pPr>
      <w:r>
        <w:rPr>
          <w:rFonts w:ascii="Arial" w:cs="Arial" w:eastAsia="Arial" w:hAnsi="Arial"/>
          <w:sz w:val="24"/>
          <w:szCs w:val="24"/>
        </w:rPr>
        <w:t xml:space="preserve">- за кабана для спортивно-любительской охоты - было 7000 (семь тысяч) сомов, установлено 15000 (пятнадцать тысяч) сомов;</w:t>
      </w:r>
    </w:p>
    <w:p>
      <w:pPr>
        <w:spacing w:after="60"/>
        <w:ind w:firstLine="567"/>
        <w:jc w:val="both"/>
      </w:pPr>
      <w:r>
        <w:rPr>
          <w:rFonts w:ascii="Arial" w:cs="Arial" w:eastAsia="Arial" w:hAnsi="Arial"/>
          <w:sz w:val="24"/>
          <w:szCs w:val="24"/>
        </w:rPr>
        <w:t xml:space="preserve">- за козерога для иностранных охотников - было 70000 (семьдесят тысяч) сомов, установлено 100000 (сто тысяч) сомов;</w:t>
      </w:r>
    </w:p>
    <w:p>
      <w:pPr>
        <w:spacing w:after="60"/>
        <w:ind w:firstLine="567"/>
        <w:jc w:val="both"/>
      </w:pPr>
      <w:r>
        <w:rPr>
          <w:rFonts w:ascii="Arial" w:cs="Arial" w:eastAsia="Arial" w:hAnsi="Arial"/>
          <w:sz w:val="24"/>
          <w:szCs w:val="24"/>
        </w:rPr>
        <w:t xml:space="preserve">- за барана Марко Поло - было 450000 (четыреста пятьдесят тысяч) сомов, установлено 700000 (семьсот тысяч) сомов.</w:t>
      </w:r>
    </w:p>
    <w:p>
      <w:pPr>
        <w:spacing w:after="120"/>
        <w:ind w:firstLine="567"/>
        <w:jc w:val="both"/>
      </w:pPr>
      <w:r>
        <w:rPr>
          <w:rFonts w:ascii="Arial" w:cs="Arial" w:eastAsia="Arial" w:hAnsi="Arial"/>
          <w:sz w:val="24"/>
          <w:szCs w:val="24"/>
        </w:rPr>
        <w:t xml:space="preserve">Приняты определенные меры по усилению воздействия на нарушителей природоохранного законодательства, заключающиеся, в частности, в увеличении размеров таксы за нанесенный ущерб, в связи с чем </w:t>
      </w:r>
      <w:hyperlink w:history="1" r:id="rIdlje-uow4jovfuybqqyvz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w:t>
      </w:r>
      <w:hyperlink w:history="1" r:id="rIdgdhb4blo_q6txnf-inhu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такс для исчисления размера взысканий за ущерб, причиненный объектам животного и растительного мира, мумиесодержащему минеральному сырью и грибам юридическими и физическими лицами" от 3 мая 2013 года № 224" от 18 августа 2017 года № 501 увеличены размеры такс на определенные виды,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8"/>
        <w:gridCol w:w="2787"/>
        <w:gridCol w:w="2787"/>
        <w:gridCol w:w="2787"/>
      </w:tblGrid>
      <w:tr>
        <w:tc>
          <w:tcPr>
            <w:tcW w:type="dxa" w:w="18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животных</w:t>
            </w:r>
          </w:p>
        </w:tc>
        <w:tc>
          <w:tcPr>
            <w:tcW w:type="dxa" w:w="83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Такса</w:t>
            </w:r>
          </w:p>
        </w:tc>
      </w:tr>
      <w:tr>
        <w:tc>
          <w:tcPr>
            <w:vMerge w:val="continue"/>
            <w:tcBorders>
              <w:top w:val="single" w:color="CBBF9E" w:sz="4"/>
              <w:left w:val="single" w:color="CBBF9E" w:sz="4"/>
              <w:bottom w:val="single" w:color="CBBF9E" w:sz="4"/>
              <w:right w:val="single" w:color="CBBF9E" w:sz="4"/>
            </w:tcBorders>
          </w:tcP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Старая такса (сомов)</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Новая такса (сомов)</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Увеличение размера таксы (сомов)</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Барс</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+ 1000000</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Марал</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+ 600000</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Медведь</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+ 600000</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Архар</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+ 600000</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Козерог</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+ 45000</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Косуля</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2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+ 35000</w:t>
            </w:r>
          </w:p>
        </w:tc>
      </w:tr>
    </w:tbl>
    <w:p>
      <w:pPr>
        <w:spacing w:after="60" w:before="120"/>
        <w:ind w:firstLine="567"/>
        <w:jc w:val="both"/>
      </w:pPr>
      <w:r>
        <w:rPr>
          <w:rFonts w:ascii="Arial" w:cs="Arial" w:eastAsia="Arial" w:hAnsi="Arial"/>
          <w:sz w:val="24"/>
          <w:szCs w:val="24"/>
        </w:rPr>
        <w:t xml:space="preserve">В настоящее время в Кыргызской Республике охрану объектов животного мира, проведение воспроизводственных и биотехнических мероприятий на закрепленных охотничьих угодьях осуществляют 203 егеря, из них: 43 егеря - на государственных охотничьих участках и 160</w:t>
      </w:r>
      <w:r>
        <w:rPr>
          <w:rFonts w:ascii="Arial" w:cs="Arial" w:eastAsia="Arial" w:hAnsi="Arial"/>
          <w:sz w:val="24"/>
          <w:szCs w:val="24"/>
        </w:rPr>
        <w:t xml:space="preserve"> егерей - на угодьях, на территории которых ведут охотхозяйственную деятельность охотпользователи общественной и частной охотхозяйственными организациями, что крайне недостаточно.</w:t>
      </w:r>
    </w:p>
    <w:p>
      <w:pPr>
        <w:spacing w:after="60"/>
        <w:ind w:firstLine="567"/>
        <w:jc w:val="both"/>
      </w:pPr>
      <w:r>
        <w:rPr>
          <w:rFonts w:ascii="Arial" w:cs="Arial" w:eastAsia="Arial" w:hAnsi="Arial"/>
          <w:sz w:val="24"/>
          <w:szCs w:val="24"/>
        </w:rPr>
        <w:t xml:space="preserve">В связи с недостаточной численностью работников системы государственной охраны животного мира к совместной работе также привлекаются (на договорной основе) общественные объединения из числа наиболее активных представителей местных сообществ. В данном направлении запущено шесть пилотных проектов, в том числе в Иссык-Кульской области (Аксуйский и Томский районы), в Чуйской области (Кеминский и Чуйский районы), в Ошской области (Алайский и Чон-Алайский районы), в Таласской области (Бакай-Атинский район), в Нарынской области (Кочкорский район). Периодически проводится обучение представителей этих общественных объединений нормам законодательства, заполнению протоколов на нарушителей, а также проведению мониторинга диких животных и биотехнических мероприятий. Такая природоохранная деятельность уже дает положительные результаты, поэтому предусматривается ее дальнейшее расширение на территории республики.</w:t>
      </w:r>
    </w:p>
    <w:p>
      <w:pPr>
        <w:spacing w:after="60"/>
        <w:ind w:firstLine="567"/>
        <w:jc w:val="both"/>
      </w:pPr>
      <w:r>
        <w:rPr>
          <w:rFonts w:ascii="Arial" w:cs="Arial" w:eastAsia="Arial" w:hAnsi="Arial"/>
          <w:sz w:val="24"/>
          <w:szCs w:val="24"/>
        </w:rPr>
        <w:t xml:space="preserve">При этом, с принятием данного законопроекта и уполномоченный государственный орган, и органы местного самоуправления, и охотпользователи лишатся определенных средств от поступлений, составляющих плату за специальное пользование охотничьими животными, распределяемых согласно пункту 8 </w:t>
      </w:r>
      <w:r>
        <w:rPr>
          <w:rFonts w:ascii="Arial" w:cs="Arial" w:eastAsia="Arial" w:hAnsi="Arial"/>
          <w:sz w:val="24"/>
          <w:szCs w:val="24"/>
        </w:rPr>
        <w:t xml:space="preserve">статьи 12</w:t>
      </w:r>
      <w:r>
        <w:rPr>
          <w:rFonts w:ascii="Arial" w:cs="Arial" w:eastAsia="Arial" w:hAnsi="Arial"/>
          <w:sz w:val="24"/>
          <w:szCs w:val="24"/>
        </w:rPr>
        <w:t xml:space="preserve"> </w:t>
      </w:r>
      <w:hyperlink w:history="1" r:id="rId6gqziwjfofkrvu7xpqoi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охоте и охотничьем хозяйстве". Преимущественно за счет этих средств ежегодно охотпользователями, а также уполномоченным государственным органом порядка 66,0 млн. сомов направляются на проведение охранных, воспроизводственных и биотехнических мероприятий. Кроме того, 25 процентов поступающих средств, что составляет более 22,0 млн. сомов в год, направляются в местные бюджеты органов местного самоуправления.</w:t>
      </w:r>
    </w:p>
    <w:p>
      <w:pPr>
        <w:spacing w:after="60"/>
        <w:ind w:firstLine="567"/>
        <w:jc w:val="both"/>
      </w:pPr>
      <w:r>
        <w:rPr>
          <w:rFonts w:ascii="Arial" w:cs="Arial" w:eastAsia="Arial" w:hAnsi="Arial"/>
          <w:sz w:val="24"/>
          <w:szCs w:val="24"/>
        </w:rPr>
        <w:t xml:space="preserve">Согласно справке-обоснованию к законопроекту принятие данного законопроекта не потребует финансовых затрат, покрываемых за счет республиканского бюджета. Однако при введении моратория возникает необходимость в обеспечении усиления природоохранных мер (егерская охрана, борьба с браконьерством, проведение биотехнических и воспроизводственных мероприятий на территории охотничьих угодий и т.д.) и технического укрепления природоохранных структур (увеличение штатной численности егерей, материально-технических средств и их содержание). Для реализации вышеуказанных мер необходимы дополнительные финансовые средства из республиканского бюджета.</w:t>
      </w:r>
    </w:p>
    <w:p>
      <w:pPr>
        <w:spacing w:after="60"/>
        <w:ind w:firstLine="567"/>
        <w:jc w:val="both"/>
      </w:pPr>
      <w:r>
        <w:rPr>
          <w:rFonts w:ascii="Arial" w:cs="Arial" w:eastAsia="Arial" w:hAnsi="Arial"/>
          <w:sz w:val="24"/>
          <w:szCs w:val="24"/>
        </w:rPr>
        <w:t xml:space="preserve">Отмечаем, что согласно </w:t>
      </w:r>
      <w:r>
        <w:rPr>
          <w:rFonts w:ascii="Arial" w:cs="Arial" w:eastAsia="Arial" w:hAnsi="Arial"/>
          <w:sz w:val="24"/>
          <w:szCs w:val="24"/>
        </w:rPr>
        <w:t xml:space="preserve">статье 31</w:t>
      </w:r>
      <w:r>
        <w:rPr>
          <w:rFonts w:ascii="Arial" w:cs="Arial" w:eastAsia="Arial" w:hAnsi="Arial"/>
          <w:sz w:val="24"/>
          <w:szCs w:val="24"/>
        </w:rPr>
        <w:t xml:space="preserve"> </w:t>
      </w:r>
      <w:hyperlink w:history="1" r:id="rIdfdimv3q6wrn5xzw5s33s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Кроме того, согласно </w:t>
      </w:r>
      <w:r>
        <w:rPr>
          <w:rFonts w:ascii="Arial" w:cs="Arial" w:eastAsia="Arial" w:hAnsi="Arial"/>
          <w:sz w:val="24"/>
          <w:szCs w:val="24"/>
        </w:rPr>
        <w:t xml:space="preserve">статье 19</w:t>
      </w:r>
      <w:r>
        <w:rPr>
          <w:rFonts w:ascii="Arial" w:cs="Arial" w:eastAsia="Arial" w:hAnsi="Arial"/>
          <w:sz w:val="24"/>
          <w:szCs w:val="24"/>
        </w:rPr>
        <w:t xml:space="preserve"> </w:t>
      </w:r>
      <w:hyperlink w:history="1" r:id="rIdh-njepwee51ainqzqean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направленных на регулирование предпринимательской деятельности, подлежат анализу регулятивного воздействия (далее - АРВ) в соответствии с </w:t>
      </w:r>
      <w:hyperlink w:history="1" r:id="rIdrxldajgzoarejtn4onfig">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утвержденной </w:t>
      </w:r>
      <w:hyperlink w:history="1" r:id="rId79wl35rv_ahzqjvwb1-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При этом АРВ осуществляется и обеспечивается разработчиком нормативного правового акта.</w:t>
      </w:r>
    </w:p>
    <w:p>
      <w:pPr>
        <w:spacing w:after="60"/>
        <w:ind w:firstLine="567"/>
        <w:jc w:val="both"/>
      </w:pPr>
      <w:r>
        <w:rPr>
          <w:rFonts w:ascii="Arial" w:cs="Arial" w:eastAsia="Arial" w:hAnsi="Arial"/>
          <w:sz w:val="24"/>
          <w:szCs w:val="24"/>
        </w:rPr>
        <w:t xml:space="preserve">Однако в представленном АРВ не отображены масштабы проблем (в экономическом, социальном, территориальном, временном и других измерениях).</w:t>
      </w:r>
    </w:p>
    <w:p>
      <w:pPr>
        <w:spacing w:after="60"/>
        <w:ind w:firstLine="567"/>
        <w:jc w:val="both"/>
      </w:pPr>
      <w:r>
        <w:rPr>
          <w:rFonts w:ascii="Arial" w:cs="Arial" w:eastAsia="Arial" w:hAnsi="Arial"/>
          <w:sz w:val="24"/>
          <w:szCs w:val="24"/>
        </w:rPr>
        <w:t xml:space="preserve">На этапе определения целей должны быть сформированы конкретные цели государственного регулирования и определены количественные и качественные индикаторы достижения целей (показатель воздействия) с целевыми значениями для оценки их достижения, т.е. необходимо указать точную формулировку цели принятия нормативного правового акта и индикаторы достижения для вариантов, предполагающих изменение существенного государственного регулирования.</w:t>
      </w:r>
    </w:p>
    <w:p>
      <w:pPr>
        <w:spacing w:after="60"/>
        <w:ind w:firstLine="567"/>
        <w:jc w:val="both"/>
      </w:pPr>
      <w:r>
        <w:rPr>
          <w:rFonts w:ascii="Arial" w:cs="Arial" w:eastAsia="Arial" w:hAnsi="Arial"/>
          <w:sz w:val="24"/>
          <w:szCs w:val="24"/>
        </w:rPr>
        <w:t xml:space="preserve">Цели государственного регулирования должны соответствовать выявленным проблемам и должны быть сформулированы максимально четко.</w:t>
      </w:r>
    </w:p>
    <w:p>
      <w:pPr>
        <w:spacing w:after="60"/>
        <w:ind w:firstLine="567"/>
        <w:jc w:val="both"/>
      </w:pPr>
      <w:r>
        <w:rPr>
          <w:rFonts w:ascii="Arial" w:cs="Arial" w:eastAsia="Arial" w:hAnsi="Arial"/>
          <w:sz w:val="24"/>
          <w:szCs w:val="24"/>
        </w:rPr>
        <w:t xml:space="preserve">Кроме того, не раскрыт анализ способа регулирования, в котором излагаются суть механизма, особенности регулирования и инструменты регулирования.</w:t>
      </w:r>
    </w:p>
    <w:p>
      <w:pPr>
        <w:spacing w:after="60"/>
        <w:ind w:firstLine="567"/>
        <w:jc w:val="both"/>
      </w:pPr>
      <w:r>
        <w:rPr>
          <w:rFonts w:ascii="Arial" w:cs="Arial" w:eastAsia="Arial" w:hAnsi="Arial"/>
          <w:sz w:val="24"/>
          <w:szCs w:val="24"/>
        </w:rPr>
        <w:t xml:space="preserve">Не приводятся подробные описания по следующим пунктам:</w:t>
      </w:r>
    </w:p>
    <w:p>
      <w:pPr>
        <w:spacing w:after="60"/>
        <w:ind w:firstLine="567"/>
        <w:jc w:val="both"/>
      </w:pPr>
      <w:r>
        <w:rPr>
          <w:rFonts w:ascii="Arial" w:cs="Arial" w:eastAsia="Arial" w:hAnsi="Arial"/>
          <w:sz w:val="24"/>
          <w:szCs w:val="24"/>
        </w:rPr>
        <w:t xml:space="preserve">- способ регулирования;</w:t>
      </w:r>
    </w:p>
    <w:p>
      <w:pPr>
        <w:spacing w:after="60"/>
        <w:ind w:firstLine="567"/>
        <w:jc w:val="both"/>
      </w:pPr>
      <w:r>
        <w:rPr>
          <w:rFonts w:ascii="Arial" w:cs="Arial" w:eastAsia="Arial" w:hAnsi="Arial"/>
          <w:sz w:val="24"/>
          <w:szCs w:val="24"/>
        </w:rPr>
        <w:t xml:space="preserve">- регулятивное воздействие;</w:t>
      </w:r>
    </w:p>
    <w:p>
      <w:pPr>
        <w:spacing w:after="60"/>
        <w:ind w:firstLine="567"/>
        <w:jc w:val="both"/>
      </w:pPr>
      <w:r>
        <w:rPr>
          <w:rFonts w:ascii="Arial" w:cs="Arial" w:eastAsia="Arial" w:hAnsi="Arial"/>
          <w:sz w:val="24"/>
          <w:szCs w:val="24"/>
        </w:rPr>
        <w:t xml:space="preserve">- реализационные риски;</w:t>
      </w:r>
    </w:p>
    <w:p>
      <w:pPr>
        <w:spacing w:after="60"/>
        <w:ind w:firstLine="567"/>
        <w:jc w:val="both"/>
      </w:pPr>
      <w:r>
        <w:rPr>
          <w:rFonts w:ascii="Arial" w:cs="Arial" w:eastAsia="Arial" w:hAnsi="Arial"/>
          <w:sz w:val="24"/>
          <w:szCs w:val="24"/>
        </w:rPr>
        <w:t xml:space="preserve">- правовой и иные анализы;</w:t>
      </w:r>
    </w:p>
    <w:p>
      <w:pPr>
        <w:spacing w:after="60"/>
        <w:ind w:firstLine="567"/>
        <w:jc w:val="both"/>
      </w:pPr>
      <w:r>
        <w:rPr>
          <w:rFonts w:ascii="Arial" w:cs="Arial" w:eastAsia="Arial" w:hAnsi="Arial"/>
          <w:sz w:val="24"/>
          <w:szCs w:val="24"/>
        </w:rPr>
        <w:t xml:space="preserve">- экономический анализ;</w:t>
      </w:r>
    </w:p>
    <w:p>
      <w:pPr>
        <w:spacing w:after="60"/>
        <w:ind w:firstLine="567"/>
        <w:jc w:val="both"/>
      </w:pPr>
      <w:r>
        <w:rPr>
          <w:rFonts w:ascii="Arial" w:cs="Arial" w:eastAsia="Arial" w:hAnsi="Arial"/>
          <w:sz w:val="24"/>
          <w:szCs w:val="24"/>
        </w:rPr>
        <w:t xml:space="preserve">- результаты общественных обсуждений.</w:t>
      </w:r>
    </w:p>
    <w:p>
      <w:pPr>
        <w:spacing w:after="60"/>
        <w:ind w:firstLine="567"/>
        <w:jc w:val="both"/>
      </w:pPr>
      <w:r>
        <w:rPr>
          <w:rFonts w:ascii="Arial" w:cs="Arial" w:eastAsia="Arial" w:hAnsi="Arial"/>
          <w:sz w:val="24"/>
          <w:szCs w:val="24"/>
        </w:rPr>
        <w:t xml:space="preserve">Не соблюдены точность и последовательность выполнения всех действий, рекомендованных Методикой.</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Кыргызской Республики "О запрете охоты на некоторые виды животных в Кыргызской Республике", инициированного депутатами Жогорку Кенеша Кыргызской Республики Байбакпаевым Э.Дж., Токтошевым Э.Т, Акаевым Ж.К.,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d9x0byvxiivglvtkcze">
      <w:r>
        <w:rPr>
          <w:rFonts w:ascii="Arial" w:cs="Arial" w:eastAsia="Arial" w:hAnsi="Arial"/>
          <w:color w:val="132D3F"/>
          <w:sz w:val="16"/>
          <w:szCs w:val="16"/>
          <w:u w:val="single"/>
        </w:rPr>
        <w:t xml:space="preserve">dalil.kg/document/14177</w:t>
      </w:r>
    </w:hyperlink>
  </w:p>
  <w:p>
    <w:pPr>
      <w:spacing w:after="0" w:before="40"/>
      <w:jc w:val="center"/>
    </w:pPr>
    <w:hyperlink w:history="1" r:id="rIdwexgmmkimfd4xgqr0eq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h2dtxeagzg5fcf3z2h" Type="http://schemas.openxmlformats.org/officeDocument/2006/relationships/hyperlink" Target="https://dalil.kg/document/203685" TargetMode="External"/><Relationship Id="rIdwxhj1i_t75whgh3yochc5" Type="http://schemas.openxmlformats.org/officeDocument/2006/relationships/hyperlink" Target="https://dalil.kg/document/14177#p1" TargetMode="External"/><Relationship Id="rId5xc7_3iqrnzszyx0rh6_j" Type="http://schemas.openxmlformats.org/officeDocument/2006/relationships/hyperlink" Target="https://dalil.kg/document/203685" TargetMode="External"/><Relationship Id="rIdkxnmwrda3hzrnmzsy1zxo" Type="http://schemas.openxmlformats.org/officeDocument/2006/relationships/hyperlink" Target="https://dalil.kg/document/98117" TargetMode="External"/><Relationship Id="rId8b_gwhchfsezdowmd1bhc" Type="http://schemas.openxmlformats.org/officeDocument/2006/relationships/hyperlink" Target="https://dalil.kg/document/99498" TargetMode="External"/><Relationship Id="rIdbwmjv4vjojbpq4hjfopvw" Type="http://schemas.openxmlformats.org/officeDocument/2006/relationships/hyperlink" Target="https://dalil.kg/document/97383" TargetMode="External"/><Relationship Id="rIdazjyy0p7spthuokrborbo" Type="http://schemas.openxmlformats.org/officeDocument/2006/relationships/hyperlink" Target="https://dalil.kg/document/97383#p1" TargetMode="External"/><Relationship Id="rIdpzar08p-c_ndvd9splwbt" Type="http://schemas.openxmlformats.org/officeDocument/2006/relationships/hyperlink" Target="https://dalil.kg/document/99926" TargetMode="External"/><Relationship Id="rIdj9kmrbm66ygtbsplt53fb" Type="http://schemas.openxmlformats.org/officeDocument/2006/relationships/hyperlink" Target="https://dalil.kg/document/98097" TargetMode="External"/><Relationship Id="rId5_ymyibmxtg4glex9wrje" Type="http://schemas.openxmlformats.org/officeDocument/2006/relationships/hyperlink" Target="https://dalil.kg/document/98097#p1" TargetMode="External"/><Relationship Id="rIdcfzbsrvpmw2jrxtp-mxbn" Type="http://schemas.openxmlformats.org/officeDocument/2006/relationships/hyperlink" Target="https://dalil.kg/document/98098" TargetMode="External"/><Relationship Id="rIdlje-uow4jovfuybqqyvzr" Type="http://schemas.openxmlformats.org/officeDocument/2006/relationships/hyperlink" Target="https://dalil.kg/document/100233" TargetMode="External"/><Relationship Id="rIdgdhb4blo_q6txnf-inhu7" Type="http://schemas.openxmlformats.org/officeDocument/2006/relationships/hyperlink" Target="https://dalil.kg/document/94337" TargetMode="External"/><Relationship Id="rId6gqziwjfofkrvu7xpqoi_" Type="http://schemas.openxmlformats.org/officeDocument/2006/relationships/hyperlink" Target="https://dalil.kg/document/205263" TargetMode="External"/><Relationship Id="rIdfdimv3q6wrn5xzw5s33s9" Type="http://schemas.openxmlformats.org/officeDocument/2006/relationships/hyperlink" Target="https://dalil.kg/document/203685" TargetMode="External"/><Relationship Id="rIdh-njepwee51ainqzqeanm" Type="http://schemas.openxmlformats.org/officeDocument/2006/relationships/hyperlink" Target="https://dalil.kg/document/202591" TargetMode="External"/><Relationship Id="rIdrxldajgzoarejtn4onfig" Type="http://schemas.openxmlformats.org/officeDocument/2006/relationships/hyperlink" Target="https://dalil.kg/document/97019" TargetMode="External"/><Relationship Id="rId79wl35rv_ahzqjvwb1-uv" Type="http://schemas.openxmlformats.org/officeDocument/2006/relationships/hyperlink" Target="https://dalil.kg/document/9701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d9x0byvxiivglvtkcze" Type="http://schemas.openxmlformats.org/officeDocument/2006/relationships/hyperlink" Target="https://dalil.kg/document/14177" TargetMode="External"/><Relationship Id="rIdwexgmmkimfd4xgqr0eq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2026-10-03T23:21:58.287Z</dcterms:created>
  <dcterms:modified xsi:type="dcterms:W3CDTF">2026-10-03T23:21:58.287Z</dcterms:modified>
</cp:coreProperties>
</file>

<file path=docProps/custom.xml><?xml version="1.0" encoding="utf-8"?>
<Properties xmlns="http://schemas.openxmlformats.org/officeDocument/2006/custom-properties" xmlns:vt="http://schemas.openxmlformats.org/officeDocument/2006/docPropsVTypes"/>
</file>