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4 июня 2019 года № 277</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кодекс Кыргызской Республики, Лесной кодекс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k1p3qbvyfcmtxqnwz2is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ysmpbhyn3wyjj1s1xw1zp">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w:t>
      </w:r>
      <w:hyperlink w:history="1" r:id="rIdi4ojh1ncuy5fo-z0lycv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hyperlink w:history="1" r:id="rId-mgyx3rrhbcacu9pxvsg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Жапаровым А.У.</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4 июня 2019 года № 277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кодекс Кыргызской Республики, Лесной кодекс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1lauh2ztr2emknejzm_t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w:t>
      </w:r>
      <w:hyperlink w:history="1" r:id="rIdksheq4lwtxj9z-txjnfh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hyperlink w:history="1" r:id="rIdxyn4rby3bcwwdtfiuxeg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проект Закона), приходит к следующему заключению.</w:t>
      </w:r>
    </w:p>
    <w:p>
      <w:pPr>
        <w:spacing w:after="60"/>
        <w:ind w:firstLine="567"/>
        <w:jc w:val="both"/>
      </w:pPr>
      <w:r>
        <w:rPr>
          <w:rFonts w:ascii="Arial" w:cs="Arial" w:eastAsia="Arial" w:hAnsi="Arial"/>
          <w:sz w:val="24"/>
          <w:szCs w:val="24"/>
        </w:rPr>
        <w:t xml:space="preserve">Согласно справке-обоснованию, проект Закона разработан в целях развития сельского хозяйства, активизации деятельности субъектов малого и среднего предпринимательства, привлечения инвестиций в промышленное садоводство путем разрешения передачи в аренду пастбищ (в том числе пастбищ государственного лесного фонда) для освоения исключительно для целей выращивания многолетних насаждений, а также разрешения строительства некоторых объектов на землях, занятых многолетними плодовыми насаждениями.</w:t>
      </w:r>
    </w:p>
    <w:p>
      <w:pPr>
        <w:spacing w:after="60"/>
        <w:ind w:firstLine="567"/>
        <w:jc w:val="both"/>
      </w:pPr>
      <w:r>
        <w:rPr>
          <w:rFonts w:ascii="Arial" w:cs="Arial" w:eastAsia="Arial" w:hAnsi="Arial"/>
          <w:sz w:val="24"/>
          <w:szCs w:val="24"/>
        </w:rPr>
        <w:t xml:space="preserve">1. Пунктом 1 статьи 1 проекта Закона предлагается </w:t>
      </w:r>
      <w:r>
        <w:rPr>
          <w:rFonts w:ascii="Arial" w:cs="Arial" w:eastAsia="Arial" w:hAnsi="Arial"/>
          <w:sz w:val="24"/>
          <w:szCs w:val="24"/>
        </w:rPr>
        <w:t xml:space="preserve">статью 4</w:t>
      </w:r>
      <w:r>
        <w:rPr>
          <w:rFonts w:ascii="Arial" w:cs="Arial" w:eastAsia="Arial" w:hAnsi="Arial"/>
          <w:sz w:val="24"/>
          <w:szCs w:val="24"/>
        </w:rPr>
        <w:t xml:space="preserve"> Земельного </w:t>
      </w:r>
      <w:hyperlink w:history="1" r:id="rIdrpirtbms3ymn7rzv-6w2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4, согласно которой пастбища не могут быть переданы в частную собственность или аренду, кроме случаев, предусмотренных частью 6 </w:t>
      </w:r>
      <w:r>
        <w:rPr>
          <w:rFonts w:ascii="Arial" w:cs="Arial" w:eastAsia="Arial" w:hAnsi="Arial"/>
          <w:sz w:val="24"/>
          <w:szCs w:val="24"/>
        </w:rPr>
        <w:t xml:space="preserve">статьи 30</w:t>
      </w:r>
      <w:r>
        <w:rPr>
          <w:rFonts w:ascii="Arial" w:cs="Arial" w:eastAsia="Arial" w:hAnsi="Arial"/>
          <w:sz w:val="24"/>
          <w:szCs w:val="24"/>
        </w:rPr>
        <w:t xml:space="preserve"> указанного Кодекса.</w:t>
      </w:r>
    </w:p>
    <w:p>
      <w:pPr>
        <w:spacing w:after="60"/>
        <w:ind w:firstLine="567"/>
        <w:jc w:val="both"/>
      </w:pPr>
      <w:r>
        <w:rPr>
          <w:rFonts w:ascii="Arial" w:cs="Arial" w:eastAsia="Arial" w:hAnsi="Arial"/>
          <w:sz w:val="24"/>
          <w:szCs w:val="24"/>
        </w:rPr>
        <w:t xml:space="preserve">Пунктом 5 статьи 1 проекта Закона предлагается </w:t>
      </w:r>
      <w:r>
        <w:rPr>
          <w:rFonts w:ascii="Arial" w:cs="Arial" w:eastAsia="Arial" w:hAnsi="Arial"/>
          <w:sz w:val="24"/>
          <w:szCs w:val="24"/>
        </w:rPr>
        <w:t xml:space="preserve">статью 30</w:t>
      </w:r>
      <w:r>
        <w:rPr>
          <w:rFonts w:ascii="Arial" w:cs="Arial" w:eastAsia="Arial" w:hAnsi="Arial"/>
          <w:sz w:val="24"/>
          <w:szCs w:val="24"/>
        </w:rPr>
        <w:t xml:space="preserve"> Земельного </w:t>
      </w:r>
      <w:hyperlink w:history="1" r:id="rIds0aio0be8xxo3jol_y3_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6, предусматривающей, что пастбища, находящиеся в государственной и муниципальной собственности (кроме земель Государственного фонда сельскохозяйственных угодий, особо охраняемых природных территорий, культурных пастбищ, пастбищ коренного улучшения, скотопрогонных трасс и скотоостановочных площадок), могут быть переданы в возмездное временное пользование на условиях аренды исключительно под освоение для целей выращивания многолетних насаждений (в том числе плодовых) сроком до 49 лет, без перевода (трансформации) их в другую категорию земель. Особенности передачи во временное пользование пастбищ на условиях аренды для выращивания многолетних насаждений регулируются </w:t>
      </w:r>
      <w:hyperlink w:history="1" r:id="rIdijo8eocs7rvr78sple9s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пастбищах" и Лесным </w:t>
      </w:r>
      <w:hyperlink w:history="1" r:id="rIdadue6dswg8ib4b4fox_h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Следует отметить, что согласно </w:t>
      </w:r>
      <w:r>
        <w:rPr>
          <w:rFonts w:ascii="Arial" w:cs="Arial" w:eastAsia="Arial" w:hAnsi="Arial"/>
          <w:sz w:val="24"/>
          <w:szCs w:val="24"/>
        </w:rPr>
        <w:t xml:space="preserve">статье 12</w:t>
      </w:r>
      <w:r>
        <w:rPr>
          <w:rFonts w:ascii="Arial" w:cs="Arial" w:eastAsia="Arial" w:hAnsi="Arial"/>
          <w:sz w:val="24"/>
          <w:szCs w:val="24"/>
        </w:rPr>
        <w:t xml:space="preserve"> </w:t>
      </w:r>
      <w:hyperlink w:history="1" r:id="rIdrorsfopd9colnu-pdbzm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 Земля также может находиться в частной, муниципальной и иных формах собственности, за исключением пастбищ, которые не могут находиться в частной собственности.</w:t>
      </w:r>
    </w:p>
    <w:p>
      <w:pPr>
        <w:spacing w:after="60"/>
        <w:ind w:firstLine="567"/>
        <w:jc w:val="both"/>
      </w:pPr>
      <w:r>
        <w:rPr>
          <w:rFonts w:ascii="Arial" w:cs="Arial" w:eastAsia="Arial" w:hAnsi="Arial"/>
          <w:sz w:val="24"/>
          <w:szCs w:val="24"/>
        </w:rPr>
        <w:t xml:space="preserve">Согласно части 2 </w:t>
      </w:r>
      <w:r>
        <w:rPr>
          <w:rFonts w:ascii="Arial" w:cs="Arial" w:eastAsia="Arial" w:hAnsi="Arial"/>
          <w:sz w:val="24"/>
          <w:szCs w:val="24"/>
        </w:rPr>
        <w:t xml:space="preserve">статьи 4</w:t>
      </w:r>
      <w:r>
        <w:rPr>
          <w:rFonts w:ascii="Arial" w:cs="Arial" w:eastAsia="Arial" w:hAnsi="Arial"/>
          <w:sz w:val="24"/>
          <w:szCs w:val="24"/>
        </w:rPr>
        <w:t xml:space="preserve"> Земельного </w:t>
      </w:r>
      <w:hyperlink w:history="1" r:id="rIdh1skxiqh3t1r4srqz9y6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государственной собственности находятся земли, предоставленные государственным землепользователям, земли лесного, водного фондов, земли особо охраняемых природных территорий, земли запаса, земли пограничной зоны, земли Государственного фонда сельскохозяйственных угодий, пастбища при сельских населенных пунктах, пастбища в зоне интенсивного использования, а также отгонные пастбища и другие земли, не переданные в частную и муниципальную собственность.</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3</w:t>
      </w:r>
      <w:r>
        <w:rPr>
          <w:rFonts w:ascii="Arial" w:cs="Arial" w:eastAsia="Arial" w:hAnsi="Arial"/>
          <w:sz w:val="24"/>
          <w:szCs w:val="24"/>
        </w:rPr>
        <w:t xml:space="preserve"> </w:t>
      </w:r>
      <w:hyperlink w:history="1" r:id="rId8kix1nieoibtbkpxxgda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пастбища - это вид сельскохозяйственных угодий, покрытых травянистой растительностью, используемых в виде подножного корма для выпаса скота и в иных целях, отраженных в земельно-учетных данных. Пастбища находятся в исключительной собственности Кыргызской Республики.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w:t>
      </w:r>
      <w:hyperlink w:history="1" r:id="rIdmgb6yhfrbjzrjzwfud2e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переводе (трансформации) земельных участков", земли, занятые многолетними насаждениями, - это сельскохозяйственное угодье, используемое под искусственно созданными древесными насаждениями, кустарником (без лесной площади), предназначенными для получения плодово-ягодной продукции.</w:t>
      </w:r>
    </w:p>
    <w:p>
      <w:pPr>
        <w:spacing w:after="60"/>
        <w:ind w:firstLine="567"/>
        <w:jc w:val="both"/>
      </w:pPr>
      <w:r>
        <w:rPr>
          <w:rFonts w:ascii="Arial" w:cs="Arial" w:eastAsia="Arial" w:hAnsi="Arial"/>
          <w:sz w:val="24"/>
          <w:szCs w:val="24"/>
        </w:rPr>
        <w:t xml:space="preserve">При этом, из </w:t>
      </w:r>
      <w:r>
        <w:rPr>
          <w:rFonts w:ascii="Arial" w:cs="Arial" w:eastAsia="Arial" w:hAnsi="Arial"/>
          <w:sz w:val="24"/>
          <w:szCs w:val="24"/>
        </w:rPr>
        <w:t xml:space="preserve">статьи 11</w:t>
      </w:r>
      <w:r>
        <w:rPr>
          <w:rFonts w:ascii="Arial" w:cs="Arial" w:eastAsia="Arial" w:hAnsi="Arial"/>
          <w:sz w:val="24"/>
          <w:szCs w:val="24"/>
        </w:rPr>
        <w:t xml:space="preserve"> Земельного </w:t>
      </w:r>
      <w:hyperlink w:history="1" r:id="rIdlzj-9xx80f_ywm20o7hc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следует, что перевод земель из одной категории в другую производится в случае изменения основного целевого назначения земель.</w:t>
      </w:r>
    </w:p>
    <w:p>
      <w:pPr>
        <w:spacing w:after="60"/>
        <w:ind w:firstLine="567"/>
        <w:jc w:val="both"/>
      </w:pPr>
      <w:r>
        <w:rPr>
          <w:rFonts w:ascii="Arial" w:cs="Arial" w:eastAsia="Arial" w:hAnsi="Arial"/>
          <w:sz w:val="24"/>
          <w:szCs w:val="24"/>
        </w:rPr>
        <w:t xml:space="preserve">Необходимо отметить, что земли, занятые многолетними насаждениями, относятся к одному из видов сельскохозяйственных угодий, которые требуют перевода из одного вида в другой вид сельскохозяйственных угодий.</w:t>
      </w:r>
    </w:p>
    <w:p>
      <w:pPr>
        <w:spacing w:after="60"/>
        <w:ind w:firstLine="567"/>
        <w:jc w:val="both"/>
      </w:pPr>
      <w:r>
        <w:rPr>
          <w:rFonts w:ascii="Arial" w:cs="Arial" w:eastAsia="Arial" w:hAnsi="Arial"/>
          <w:sz w:val="24"/>
          <w:szCs w:val="24"/>
        </w:rPr>
        <w:t xml:space="preserve">В связи с чем пункты 1 и 5 статьи 1 проекта Закона необходимо проработать с учетом норм вышеуказанного законодательства.</w:t>
      </w:r>
    </w:p>
    <w:p>
      <w:pPr>
        <w:spacing w:after="60"/>
        <w:ind w:firstLine="567"/>
        <w:jc w:val="both"/>
      </w:pPr>
      <w:r>
        <w:rPr>
          <w:rFonts w:ascii="Arial" w:cs="Arial" w:eastAsia="Arial" w:hAnsi="Arial"/>
          <w:sz w:val="24"/>
          <w:szCs w:val="24"/>
        </w:rPr>
        <w:t xml:space="preserve">Также, в целях рационального и всестороннего разрешения вопросов, касающихся пастбищ, в том числе с учетом интересов пастбищепользователей, отмечаем необходимость в первоочередном порядке провести инвентаризацию пастбищных угодий на территории Кыргызской Республики и определить реальную площадь земель, пригодных к использованию в качестве пастбищ, с последующим установлением моратория на их перевод (трансформацию).</w:t>
      </w:r>
    </w:p>
    <w:p>
      <w:pPr>
        <w:spacing w:after="60"/>
        <w:ind w:firstLine="567"/>
        <w:jc w:val="both"/>
      </w:pPr>
      <w:r>
        <w:rPr>
          <w:rFonts w:ascii="Arial" w:cs="Arial" w:eastAsia="Arial" w:hAnsi="Arial"/>
          <w:i/>
          <w:iCs/>
          <w:sz w:val="24"/>
          <w:szCs w:val="24"/>
        </w:rPr>
        <w:t xml:space="preserve">Примечание "ЦБД": Количество абзацев в пункте 1 настоящего заключения не соответствует количеству абзацев в пункте 1 текста на государственном языке.</w:t>
      </w:r>
    </w:p>
    <w:p>
      <w:pPr>
        <w:spacing w:after="60"/>
        <w:ind w:firstLine="567"/>
        <w:jc w:val="both"/>
      </w:pPr>
      <w:r>
        <w:rPr>
          <w:rFonts w:ascii="Arial" w:cs="Arial" w:eastAsia="Arial" w:hAnsi="Arial"/>
          <w:sz w:val="24"/>
          <w:szCs w:val="24"/>
        </w:rPr>
        <w:t xml:space="preserve">2. Пунктом 3 статьи 1 проекта Закона предлагается </w:t>
      </w:r>
      <w:r>
        <w:rPr>
          <w:rFonts w:ascii="Arial" w:cs="Arial" w:eastAsia="Arial" w:hAnsi="Arial"/>
          <w:sz w:val="24"/>
          <w:szCs w:val="24"/>
        </w:rPr>
        <w:t xml:space="preserve">статью 18</w:t>
      </w:r>
      <w:r>
        <w:rPr>
          <w:rFonts w:ascii="Arial" w:cs="Arial" w:eastAsia="Arial" w:hAnsi="Arial"/>
          <w:sz w:val="24"/>
          <w:szCs w:val="24"/>
        </w:rPr>
        <w:t xml:space="preserve"> Земельного </w:t>
      </w:r>
      <w:hyperlink w:history="1" r:id="rIdnmmmncl53isfr2hlyd2c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8, согласно которой представительные органы местного самоуправления устанавливают предельные размеры и площади территорий пастбищ, предоставляемых во временное пользование на условиях аренды под освоение для выращивания многолетних насаждений, размеры и порядок внесения арендной платы с учетом инфраструктуры и отдаленности в зависимости от площади предоставляемого пастбища и ожидаемого дохода местного бюджета.</w:t>
      </w:r>
    </w:p>
    <w:p>
      <w:pPr>
        <w:spacing w:after="60"/>
        <w:ind w:firstLine="567"/>
        <w:jc w:val="both"/>
      </w:pPr>
      <w:r>
        <w:rPr>
          <w:rFonts w:ascii="Arial" w:cs="Arial" w:eastAsia="Arial" w:hAnsi="Arial"/>
          <w:sz w:val="24"/>
          <w:szCs w:val="24"/>
        </w:rPr>
        <w:t xml:space="preserve">При этом,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 </w:t>
      </w:r>
      <w:hyperlink w:history="1" r:id="rIdb_nw0p5vo6acv3ks1hrz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ответственность и контроль за управлением государственными пастбищными угодьями, кроме права распоряжения, передаются органам местного самоуправления, которые вправе делегировать полномочия по управлению и использованию пастбищ объединениям пастбищепользователей, создаваемым местным сообществом в целях представления интересов владельцев скота и других пользователей пастбищ данной территориальной единицы в отношении пользования и улучшения пастбищ. Исполнительным органом объединения пастбищепользователей является жайыт комитет.</w:t>
      </w:r>
    </w:p>
    <w:p>
      <w:pPr>
        <w:spacing w:after="60"/>
        <w:ind w:firstLine="567"/>
        <w:jc w:val="both"/>
      </w:pPr>
      <w:r>
        <w:rPr>
          <w:rFonts w:ascii="Arial" w:cs="Arial" w:eastAsia="Arial" w:hAnsi="Arial"/>
          <w:sz w:val="24"/>
          <w:szCs w:val="24"/>
        </w:rPr>
        <w:t xml:space="preserve">В связи с чем отмечаем, что пункт 3 статьи 1 проекта Закона следует пересмотреть.</w:t>
      </w:r>
    </w:p>
    <w:p>
      <w:pPr>
        <w:spacing w:after="60"/>
        <w:ind w:firstLine="567"/>
        <w:jc w:val="both"/>
      </w:pPr>
      <w:r>
        <w:rPr>
          <w:rFonts w:ascii="Arial" w:cs="Arial" w:eastAsia="Arial" w:hAnsi="Arial"/>
          <w:sz w:val="24"/>
          <w:szCs w:val="24"/>
        </w:rPr>
        <w:t xml:space="preserve">3. Пунктом 4 статьи 1 проекта Закона предлагается </w:t>
      </w:r>
      <w:r>
        <w:rPr>
          <w:rFonts w:ascii="Arial" w:cs="Arial" w:eastAsia="Arial" w:hAnsi="Arial"/>
          <w:sz w:val="24"/>
          <w:szCs w:val="24"/>
        </w:rPr>
        <w:t xml:space="preserve">статью 28-1</w:t>
      </w:r>
      <w:r>
        <w:rPr>
          <w:rFonts w:ascii="Arial" w:cs="Arial" w:eastAsia="Arial" w:hAnsi="Arial"/>
          <w:sz w:val="24"/>
          <w:szCs w:val="24"/>
        </w:rPr>
        <w:t xml:space="preserve"> Земельного </w:t>
      </w:r>
      <w:hyperlink w:history="1" r:id="rIdkj5wjmp6kag8ygmlusqt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5, согласно которой не допускается предоставление под недропользование территорий пастбищ, в случае если данные территории ранее были переданы во временное пользование на условиях аренды под освоение для выращивания многолетних насаждений.</w:t>
      </w:r>
    </w:p>
    <w:p>
      <w:pPr>
        <w:spacing w:after="60"/>
        <w:ind w:firstLine="567"/>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40</w:t>
      </w:r>
      <w:r>
        <w:rPr>
          <w:rFonts w:ascii="Arial" w:cs="Arial" w:eastAsia="Arial" w:hAnsi="Arial"/>
          <w:sz w:val="24"/>
          <w:szCs w:val="24"/>
        </w:rPr>
        <w:t xml:space="preserve"> </w:t>
      </w:r>
      <w:hyperlink w:history="1" r:id="rIdpz_osrrztkpsmoc3dkdm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недропользователю, получившему право пользования недрами, обеспечивается возможность пользования земельными участками для проведения поисковых, разведочных работ, а также работ по разработке месторождений полезных ископаемых и строительству производственных и инфраструктурных объектов на срок пользования недрами.</w:t>
      </w:r>
    </w:p>
    <w:p>
      <w:pPr>
        <w:spacing w:after="60"/>
        <w:ind w:firstLine="567"/>
        <w:jc w:val="both"/>
      </w:pPr>
      <w:r>
        <w:rPr>
          <w:rFonts w:ascii="Arial" w:cs="Arial" w:eastAsia="Arial" w:hAnsi="Arial"/>
          <w:sz w:val="24"/>
          <w:szCs w:val="24"/>
        </w:rPr>
        <w:t xml:space="preserve">При геологическом изучении недр (поиск и разведка) отчуждение земельного участка не производится, а недропользователю предоставляется письменное согласие владельца земельных прав на проведение геологических работ.</w:t>
      </w:r>
    </w:p>
    <w:p>
      <w:pPr>
        <w:spacing w:after="60"/>
        <w:ind w:firstLine="567"/>
        <w:jc w:val="both"/>
      </w:pPr>
      <w:r>
        <w:rPr>
          <w:rFonts w:ascii="Arial" w:cs="Arial" w:eastAsia="Arial" w:hAnsi="Arial"/>
          <w:sz w:val="24"/>
          <w:szCs w:val="24"/>
        </w:rPr>
        <w:t xml:space="preserve">Право временного пользования земельным участком, находящимся в частной собственности или во временном пользовании, предоставляется собственником земельного участка или пользователем земельных прав по договору с недропользователем.</w:t>
      </w:r>
    </w:p>
    <w:p>
      <w:pPr>
        <w:spacing w:after="60"/>
        <w:ind w:firstLine="567"/>
        <w:jc w:val="both"/>
      </w:pPr>
      <w:r>
        <w:rPr>
          <w:rFonts w:ascii="Arial" w:cs="Arial" w:eastAsia="Arial" w:hAnsi="Arial"/>
          <w:sz w:val="24"/>
          <w:szCs w:val="24"/>
        </w:rPr>
        <w:t xml:space="preserve">При этом, частью 2 </w:t>
      </w:r>
      <w:r>
        <w:rPr>
          <w:rFonts w:ascii="Arial" w:cs="Arial" w:eastAsia="Arial" w:hAnsi="Arial"/>
          <w:sz w:val="24"/>
          <w:szCs w:val="24"/>
        </w:rPr>
        <w:t xml:space="preserve">статьи 28-1</w:t>
      </w:r>
      <w:r>
        <w:rPr>
          <w:rFonts w:ascii="Arial" w:cs="Arial" w:eastAsia="Arial" w:hAnsi="Arial"/>
          <w:sz w:val="24"/>
          <w:szCs w:val="24"/>
        </w:rPr>
        <w:t xml:space="preserve"> Земельного </w:t>
      </w:r>
      <w:hyperlink w:history="1" r:id="rIdykaajhiv9u3k93okc0na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предусматривается, что в течение срока рассмотрения заявления и выдачи документа на право пользования земельным участком, который не может превышать 30 календарных дней, владелец земельных прав обязан вынести решение о предоставлении земельного участка.</w:t>
      </w:r>
    </w:p>
    <w:p>
      <w:pPr>
        <w:spacing w:after="60"/>
        <w:ind w:firstLine="567"/>
        <w:jc w:val="both"/>
      </w:pPr>
      <w:r>
        <w:rPr>
          <w:rFonts w:ascii="Arial" w:cs="Arial" w:eastAsia="Arial" w:hAnsi="Arial"/>
          <w:sz w:val="24"/>
          <w:szCs w:val="24"/>
        </w:rPr>
        <w:t xml:space="preserve">Также информируем, что в соответствии с Земельным </w:t>
      </w:r>
      <w:hyperlink w:history="1" r:id="rIdjl4rn6bkgimelstfpcl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21ah8_zam5dtiwu3vvjn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w:t>
      </w:r>
      <w:hyperlink w:history="1" r:id="rIdic5nbry1znq1bst6q1l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2017 года № 810 утверждено </w:t>
      </w:r>
      <w:hyperlink w:history="1" r:id="rIdymdfxxubfa_wl_2ycgga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земельных участков под недропользование. Согласно пункту 12 указанного </w:t>
      </w:r>
      <w:hyperlink w:history="1" r:id="rIdw-gfdcxxrfz97deqqquy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недропользователю не может быть отказано в предоставлении письменного согласия на предоставление земельного участка для геологического изучения недр.</w:t>
      </w:r>
    </w:p>
    <w:p>
      <w:pPr>
        <w:spacing w:after="60"/>
        <w:ind w:firstLine="567"/>
        <w:jc w:val="both"/>
      </w:pPr>
      <w:r>
        <w:rPr>
          <w:rFonts w:ascii="Arial" w:cs="Arial" w:eastAsia="Arial" w:hAnsi="Arial"/>
          <w:sz w:val="24"/>
          <w:szCs w:val="24"/>
        </w:rPr>
        <w:t xml:space="preserve">Таким образом, предлагаемое проектом Закона дополнение вышеназванной статьи Земельного </w:t>
      </w:r>
      <w:hyperlink w:history="1" r:id="rIdkdhbdv3rmb2bwm8qj-pe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будет входить в противоречие с указанными требованиями законодательства.</w:t>
      </w:r>
    </w:p>
    <w:p>
      <w:pPr>
        <w:spacing w:after="60"/>
        <w:ind w:firstLine="567"/>
        <w:jc w:val="both"/>
      </w:pPr>
      <w:r>
        <w:rPr>
          <w:rFonts w:ascii="Arial" w:cs="Arial" w:eastAsia="Arial" w:hAnsi="Arial"/>
          <w:sz w:val="24"/>
          <w:szCs w:val="24"/>
        </w:rPr>
        <w:t xml:space="preserve">Кроме того, обращаем внимание, что справка-обоснование также не содержит обоснования причин введения ограничения в части недропользования.</w:t>
      </w:r>
    </w:p>
    <w:p>
      <w:pPr>
        <w:spacing w:after="60"/>
        <w:ind w:firstLine="567"/>
        <w:jc w:val="both"/>
      </w:pPr>
      <w:r>
        <w:rPr>
          <w:rFonts w:ascii="Arial" w:cs="Arial" w:eastAsia="Arial" w:hAnsi="Arial"/>
          <w:sz w:val="24"/>
          <w:szCs w:val="24"/>
        </w:rPr>
        <w:t xml:space="preserve">Одновременно необходимо отметить, что горнодобывающая промышленность не только обеспечивает поступления в республиканский и местные бюджеты в виде налоговых или неналоговых поступлений, но и оказывает значительное влияние на социально-экономическое развитие регионов. Этому способствуют как выплаты или поддержка, обеспечиваемые исключительно недропользователями (социальный пакет, отчисления на развитие и содержание инфраструктуры местного значения), так и создание рабочих мест для местного населения, и приобретение в некоторых регионах продукции и товаров местных производителей.</w:t>
      </w:r>
    </w:p>
    <w:p>
      <w:pPr>
        <w:spacing w:after="60"/>
        <w:ind w:firstLine="567"/>
        <w:jc w:val="both"/>
      </w:pPr>
      <w:r>
        <w:rPr>
          <w:rFonts w:ascii="Arial" w:cs="Arial" w:eastAsia="Arial" w:hAnsi="Arial"/>
          <w:sz w:val="24"/>
          <w:szCs w:val="24"/>
        </w:rPr>
        <w:t xml:space="preserve">В этой связи в качестве альтернативного механизма предлагаем установить, что решение о предоставлении территорий пастбищ во временное пользование на условиях аренды под освоение для выращивания многолетних насаждений будет приниматься при предоставлении сведений от уполномоченного государственного органа по реализации государственной политики в области недропользования о наличии либо отсутствии полезных ископаемых в недрах.</w:t>
      </w:r>
    </w:p>
    <w:p>
      <w:pPr>
        <w:spacing w:after="60"/>
        <w:ind w:firstLine="567"/>
        <w:jc w:val="both"/>
      </w:pPr>
      <w:r>
        <w:rPr>
          <w:rFonts w:ascii="Arial" w:cs="Arial" w:eastAsia="Arial" w:hAnsi="Arial"/>
          <w:sz w:val="24"/>
          <w:szCs w:val="24"/>
        </w:rPr>
        <w:t xml:space="preserve">4. Пунктом 6 статьи 1 проекта Закона предлагается на территории земель, занятых многолетними плодовыми насаждениями, площадь которых составляет более 50 гектаров, разрешить строительство не более одного ангара, овощехранилища или садового дома, предназначенного для проживания во время сезонных работ, а также разрешить ограждение из легких металлических или деревянных конструкций, имеющих небольшую массу.</w:t>
      </w:r>
    </w:p>
    <w:p>
      <w:pPr>
        <w:spacing w:after="60"/>
        <w:ind w:firstLine="567"/>
        <w:jc w:val="both"/>
      </w:pPr>
      <w:r>
        <w:rPr>
          <w:rFonts w:ascii="Arial" w:cs="Arial" w:eastAsia="Arial" w:hAnsi="Arial"/>
          <w:sz w:val="24"/>
          <w:szCs w:val="24"/>
        </w:rPr>
        <w:t xml:space="preserve">Однако возникает вопрос в части устанавливаемого размера площади территории земли для осуществления строительства указанных объектов, определения массы вышеназванных конструкций, а также каким органом будет осуществляться должный контроль за соблюдением устанавливаемых требований.</w:t>
      </w:r>
    </w:p>
    <w:p>
      <w:pPr>
        <w:spacing w:after="60"/>
        <w:ind w:firstLine="567"/>
        <w:jc w:val="both"/>
      </w:pPr>
      <w:r>
        <w:rPr>
          <w:rFonts w:ascii="Arial" w:cs="Arial" w:eastAsia="Arial" w:hAnsi="Arial"/>
          <w:sz w:val="24"/>
          <w:szCs w:val="24"/>
        </w:rPr>
        <w:t xml:space="preserve">5. Кроме того, проект Закона содержит внутренние несоответствия.</w:t>
      </w:r>
    </w:p>
    <w:p>
      <w:pPr>
        <w:spacing w:after="60"/>
        <w:ind w:firstLine="567"/>
        <w:jc w:val="both"/>
      </w:pPr>
      <w:r>
        <w:rPr>
          <w:rFonts w:ascii="Arial" w:cs="Arial" w:eastAsia="Arial" w:hAnsi="Arial"/>
          <w:sz w:val="24"/>
          <w:szCs w:val="24"/>
        </w:rPr>
        <w:t xml:space="preserve">Так, например, согласно пункту 3 статьи 2 проекта Закона, порядок предоставления пастбищ, определения размера арендной платы, а также правила освоения пастбищ для целей выращивания многолетних плодовых насаждений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При этом из пункта 3 статьи 1 проекта Закона следует, что предельные размеры и площади территорий пастбищ, предоставляемых во временное пользование на условиях аренды под освоение для выращивания многолетних насаждений, размеры и порядок внесения арендной платы с учетом инфраструктуры и отдаленности в зависимости от площади предоставляемого пастбища и ожидаемого дохода местного бюджета устанавливаются представительными органами местного самоуправления.</w:t>
      </w:r>
    </w:p>
    <w:p>
      <w:pPr>
        <w:spacing w:after="60"/>
        <w:ind w:firstLine="567"/>
        <w:jc w:val="both"/>
      </w:pPr>
      <w:r>
        <w:rPr>
          <w:rFonts w:ascii="Arial" w:cs="Arial" w:eastAsia="Arial" w:hAnsi="Arial"/>
          <w:sz w:val="24"/>
          <w:szCs w:val="24"/>
        </w:rPr>
        <w:t xml:space="preserve">В то же время, согласно пункту 3 статьи 2 проекта Закона, представительные органы местного самоуправления определяют предельный размер и общую площадь территорий пастбищ по рекомендации уполномоченного органа по вопросам охраны окружающей среды и лесного хозяйства с учетом интересов местного населения.</w:t>
      </w:r>
    </w:p>
    <w:p>
      <w:pPr>
        <w:spacing w:after="60"/>
        <w:ind w:firstLine="567"/>
        <w:jc w:val="both"/>
      </w:pPr>
      <w:r>
        <w:rPr>
          <w:rFonts w:ascii="Arial" w:cs="Arial" w:eastAsia="Arial" w:hAnsi="Arial"/>
          <w:sz w:val="24"/>
          <w:szCs w:val="24"/>
        </w:rPr>
        <w:t xml:space="preserve">В соответствии с пунктом 3 статьи 3 проекта Закона за использование пастбищ в целях выращивания многолетних плодовых насаждений взимается арендная плата в республиканский бюджет, размер которой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В этой связи предлагаем соответствующие пункты статей 1, 2 и 3 проекта Закона уточнить. Одновременно предлагаем уточнить положения проекта Закона, в части срока предоставления в аренду пастбищ, порядка проведения конкурса и заключения договоров, цели использования пастбищ, порядка выделения участков пастбищ и т.д.</w:t>
      </w:r>
    </w:p>
    <w:p>
      <w:pPr>
        <w:spacing w:after="60"/>
        <w:ind w:firstLine="567"/>
        <w:jc w:val="both"/>
      </w:pPr>
      <w:r>
        <w:rPr>
          <w:rFonts w:ascii="Arial" w:cs="Arial" w:eastAsia="Arial" w:hAnsi="Arial"/>
          <w:sz w:val="24"/>
          <w:szCs w:val="24"/>
        </w:rPr>
        <w:t xml:space="preserve">6. Пунктом 3 статьи 2 проекта Закона (статья 3-3 предлагаемой редакции проекта Закона) устанавливается, что неосвоение в течение трех лет арендуемой территории пастбища влечет недействительность договора аренды.</w:t>
      </w:r>
    </w:p>
    <w:p>
      <w:pPr>
        <w:spacing w:after="60"/>
        <w:ind w:firstLine="567"/>
        <w:jc w:val="both"/>
      </w:pPr>
      <w:r>
        <w:rPr>
          <w:rFonts w:ascii="Arial" w:cs="Arial" w:eastAsia="Arial" w:hAnsi="Arial"/>
          <w:sz w:val="24"/>
          <w:szCs w:val="24"/>
        </w:rPr>
        <w:t xml:space="preserve">Вместе с тем отмечаем, что согласно положениям Гражданского </w:t>
      </w:r>
      <w:hyperlink w:history="1" r:id="rId6wsn8axxqyty7asg5wgc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договорные отношения регулируются гражданским законодательством Кыргызской Республики. При этом нормы гражданского законодательства, содержащиеся в других нормативных правовых актах, должны соответствовать указанному </w:t>
      </w:r>
      <w:hyperlink w:history="1" r:id="rIdqe9mhgipqkumedxg1hrns">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связи с чем пункт 3 статьи 2 проекта Закона следует проработать, с учетом требований Гражданского </w:t>
      </w:r>
      <w:hyperlink w:history="1" r:id="rIdm0g4k3n4ii0w4r2qw0ef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8. Пунктом 3 статьи 3 проекта Закона предлагается </w:t>
      </w:r>
      <w:r>
        <w:rPr>
          <w:rFonts w:ascii="Arial" w:cs="Arial" w:eastAsia="Arial" w:hAnsi="Arial"/>
          <w:sz w:val="24"/>
          <w:szCs w:val="24"/>
        </w:rPr>
        <w:t xml:space="preserve">главу 9</w:t>
      </w:r>
      <w:r>
        <w:rPr>
          <w:rFonts w:ascii="Arial" w:cs="Arial" w:eastAsia="Arial" w:hAnsi="Arial"/>
          <w:sz w:val="24"/>
          <w:szCs w:val="24"/>
        </w:rPr>
        <w:t xml:space="preserve"> Лесного </w:t>
      </w:r>
      <w:hyperlink w:history="1" r:id="rId8wvmjzpmfdjcwdlq9rgc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статьей 51-2. Вместе с тем предлагаем уточнить нумерацию предлагаемой статьи, с учетом действующей редакции </w:t>
      </w:r>
      <w:r>
        <w:rPr>
          <w:rFonts w:ascii="Arial" w:cs="Arial" w:eastAsia="Arial" w:hAnsi="Arial"/>
          <w:sz w:val="24"/>
          <w:szCs w:val="24"/>
        </w:rPr>
        <w:t xml:space="preserve">главы 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По части 2 статьи 3 проекта Закона отмечаем,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tb3zg1jufdqj9ekiqsr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с учетом требований </w:t>
      </w:r>
      <w:r>
        <w:rPr>
          <w:rFonts w:ascii="Arial" w:cs="Arial" w:eastAsia="Arial" w:hAnsi="Arial"/>
          <w:sz w:val="24"/>
          <w:szCs w:val="24"/>
        </w:rPr>
        <w:t xml:space="preserve">статьи 25</w:t>
      </w:r>
      <w:r>
        <w:rPr>
          <w:rFonts w:ascii="Arial" w:cs="Arial" w:eastAsia="Arial" w:hAnsi="Arial"/>
          <w:sz w:val="24"/>
          <w:szCs w:val="24"/>
        </w:rPr>
        <w:t xml:space="preserve"> указанного Закона отмечаем отсутствие в справке-обосновании информации о нормативных правовых актах, подлежащих пересмотру в случае принятия рассматриваемого проекта Закона.</w:t>
      </w:r>
    </w:p>
    <w:p>
      <w:pPr>
        <w:spacing w:after="60"/>
        <w:ind w:firstLine="567"/>
        <w:jc w:val="both"/>
      </w:pPr>
      <w:r>
        <w:rPr>
          <w:rFonts w:ascii="Arial" w:cs="Arial" w:eastAsia="Arial" w:hAnsi="Arial"/>
          <w:sz w:val="24"/>
          <w:szCs w:val="24"/>
        </w:rPr>
        <w:t xml:space="preserve">При этом, в случае выявления решений, подлежащих пересмотру в связи с принятием проекта Закона, и необходимости разработки проектов нормативных правовых актов Правительства Кыргызской Республики, следует увеличить срок вступления в силу предлагаемого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10. Наименование проекта Закона предлагаем привести в соответствие с пунктом 9 </w:t>
      </w:r>
      <w:hyperlink w:history="1" r:id="rIdw56xzatnbo2nfhihya5z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dfonjgudr7rrbjsb2cn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согласно которому наименование законопроекта, которым вносятся изменения в несколько законов, должно содержать в скобках наименование законов, в которые вносятся изменения (не более трех).</w:t>
      </w:r>
    </w:p>
    <w:p>
      <w:pPr>
        <w:spacing w:after="60"/>
        <w:ind w:firstLine="567"/>
        <w:jc w:val="both"/>
      </w:pPr>
      <w:r>
        <w:rPr>
          <w:rFonts w:ascii="Arial" w:cs="Arial" w:eastAsia="Arial" w:hAnsi="Arial"/>
          <w:sz w:val="24"/>
          <w:szCs w:val="24"/>
        </w:rPr>
        <w:t xml:space="preserve">Также, в соответствии с пунктом 105 вышеуказанной </w:t>
      </w:r>
      <w:hyperlink w:history="1" r:id="rIdb5d8wkzr92lyze5hl7-_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предусматривающей случаи изложения структурного элемента Закона в новой редакции, предлагаем доработать пункт 1 статьи 1 проекта Закона.</w:t>
      </w:r>
    </w:p>
    <w:p>
      <w:pPr>
        <w:spacing w:after="60"/>
        <w:ind w:firstLine="567"/>
        <w:jc w:val="both"/>
      </w:pPr>
      <w:r>
        <w:rPr>
          <w:rFonts w:ascii="Arial" w:cs="Arial" w:eastAsia="Arial" w:hAnsi="Arial"/>
          <w:sz w:val="24"/>
          <w:szCs w:val="24"/>
        </w:rPr>
        <w:t xml:space="preserve">В целом проект Закона подлежит тщательной редакционной, технической и смысловой доработке.</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некоторые законодательные акты Кыргызской Республики в сфере пользования пастбищами (в Земельный </w:t>
      </w:r>
      <w:hyperlink w:history="1" r:id="rIdh-af6rf9pwtsmr7lf0l0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hyperlink w:history="1" r:id="rIdaxqoun5wpju2rvg8hqv3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 учетом вышеуказанных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0h_epxw473a8vxoed1kz">
      <w:r>
        <w:rPr>
          <w:rFonts w:ascii="Arial" w:cs="Arial" w:eastAsia="Arial" w:hAnsi="Arial"/>
          <w:color w:val="132D3F"/>
          <w:sz w:val="16"/>
          <w:szCs w:val="16"/>
          <w:u w:val="single"/>
        </w:rPr>
        <w:t xml:space="preserve">dalil.kg/document/14202</w:t>
      </w:r>
    </w:hyperlink>
  </w:p>
  <w:p>
    <w:pPr>
      <w:spacing w:after="0" w:before="40"/>
      <w:jc w:val="center"/>
    </w:pPr>
    <w:hyperlink w:history="1" r:id="rIdygi5qjdvetauaii_5osp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1p3qbvyfcmtxqnwz2isv" Type="http://schemas.openxmlformats.org/officeDocument/2006/relationships/hyperlink" Target="https://dalil.kg/document/203685" TargetMode="External"/><Relationship Id="rIdysmpbhyn3wyjj1s1xw1zp" Type="http://schemas.openxmlformats.org/officeDocument/2006/relationships/hyperlink" Target="https://dalil.kg/document/14202#p1" TargetMode="External"/><Relationship Id="rIdi4ojh1ncuy5fo-z0lycvs" Type="http://schemas.openxmlformats.org/officeDocument/2006/relationships/hyperlink" Target="https://dalil.kg/document/8" TargetMode="External"/><Relationship Id="rId-mgyx3rrhbcacu9pxvsgu" Type="http://schemas.openxmlformats.org/officeDocument/2006/relationships/hyperlink" Target="https://dalil.kg/document/10" TargetMode="External"/><Relationship Id="rId1lauh2ztr2emknejzm_t1" Type="http://schemas.openxmlformats.org/officeDocument/2006/relationships/hyperlink" Target="https://dalil.kg/document/203685" TargetMode="External"/><Relationship Id="rIdksheq4lwtxj9z-txjnfh2" Type="http://schemas.openxmlformats.org/officeDocument/2006/relationships/hyperlink" Target="https://dalil.kg/document/8" TargetMode="External"/><Relationship Id="rIdxyn4rby3bcwwdtfiuxegc" Type="http://schemas.openxmlformats.org/officeDocument/2006/relationships/hyperlink" Target="https://dalil.kg/document/10" TargetMode="External"/><Relationship Id="rIdrpirtbms3ymn7rzv-6w2k" Type="http://schemas.openxmlformats.org/officeDocument/2006/relationships/hyperlink" Target="https://dalil.kg/document/8" TargetMode="External"/><Relationship Id="rIds0aio0be8xxo3jol_y3_a" Type="http://schemas.openxmlformats.org/officeDocument/2006/relationships/hyperlink" Target="https://dalil.kg/document/8" TargetMode="External"/><Relationship Id="rIdijo8eocs7rvr78sple9sy" Type="http://schemas.openxmlformats.org/officeDocument/2006/relationships/hyperlink" Target="https://dalil.kg/document/202594" TargetMode="External"/><Relationship Id="rIdadue6dswg8ib4b4fox_hb" Type="http://schemas.openxmlformats.org/officeDocument/2006/relationships/hyperlink" Target="https://dalil.kg/document/10" TargetMode="External"/><Relationship Id="rIdrorsfopd9colnu-pdbzmq" Type="http://schemas.openxmlformats.org/officeDocument/2006/relationships/hyperlink" Target="https://dalil.kg/document/202913" TargetMode="External"/><Relationship Id="rIdh1skxiqh3t1r4srqz9y64" Type="http://schemas.openxmlformats.org/officeDocument/2006/relationships/hyperlink" Target="https://dalil.kg/document/8" TargetMode="External"/><Relationship Id="rId8kix1nieoibtbkpxxgdav" Type="http://schemas.openxmlformats.org/officeDocument/2006/relationships/hyperlink" Target="https://dalil.kg/document/202594" TargetMode="External"/><Relationship Id="rIdmgb6yhfrbjzrjzwfud2es" Type="http://schemas.openxmlformats.org/officeDocument/2006/relationships/hyperlink" Target="https://dalil.kg/document/203953" TargetMode="External"/><Relationship Id="rIdlzj-9xx80f_ywm20o7hcu" Type="http://schemas.openxmlformats.org/officeDocument/2006/relationships/hyperlink" Target="https://dalil.kg/document/8" TargetMode="External"/><Relationship Id="rIdnmmmncl53isfr2hlyd2cs" Type="http://schemas.openxmlformats.org/officeDocument/2006/relationships/hyperlink" Target="https://dalil.kg/document/8" TargetMode="External"/><Relationship Id="rIdb_nw0p5vo6acv3ks1hrzd" Type="http://schemas.openxmlformats.org/officeDocument/2006/relationships/hyperlink" Target="https://dalil.kg/document/202594" TargetMode="External"/><Relationship Id="rIdkj5wjmp6kag8ygmlusqt3" Type="http://schemas.openxmlformats.org/officeDocument/2006/relationships/hyperlink" Target="https://dalil.kg/document/8" TargetMode="External"/><Relationship Id="rIdpz_osrrztkpsmoc3dkdmo" Type="http://schemas.openxmlformats.org/officeDocument/2006/relationships/hyperlink" Target="https://dalil.kg/document/111782" TargetMode="External"/><Relationship Id="rIdykaajhiv9u3k93okc0na9" Type="http://schemas.openxmlformats.org/officeDocument/2006/relationships/hyperlink" Target="https://dalil.kg/document/8" TargetMode="External"/><Relationship Id="rIdjl4rn6bkgimelstfpclq-" Type="http://schemas.openxmlformats.org/officeDocument/2006/relationships/hyperlink" Target="https://dalil.kg/document/8" TargetMode="External"/><Relationship Id="rId21ah8_zam5dtiwu3vvjnm" Type="http://schemas.openxmlformats.org/officeDocument/2006/relationships/hyperlink" Target="https://dalil.kg/document/111782" TargetMode="External"/><Relationship Id="rIdic5nbry1znq1bst6q1lsw" Type="http://schemas.openxmlformats.org/officeDocument/2006/relationships/hyperlink" Target="https://dalil.kg/document/11520" TargetMode="External"/><Relationship Id="rIdymdfxxubfa_wl_2ycggad" Type="http://schemas.openxmlformats.org/officeDocument/2006/relationships/hyperlink" Target="https://dalil.kg/document/11520#p1" TargetMode="External"/><Relationship Id="rIdw-gfdcxxrfz97deqqquyu" Type="http://schemas.openxmlformats.org/officeDocument/2006/relationships/hyperlink" Target="https://dalil.kg/document/11520#p1" TargetMode="External"/><Relationship Id="rIdkdhbdv3rmb2bwm8qj-pe0" Type="http://schemas.openxmlformats.org/officeDocument/2006/relationships/hyperlink" Target="https://dalil.kg/document/8" TargetMode="External"/><Relationship Id="rId6wsn8axxqyty7asg5wgc2" Type="http://schemas.openxmlformats.org/officeDocument/2006/relationships/hyperlink" Target="https://dalil.kg/document/4" TargetMode="External"/><Relationship Id="rIdqe9mhgipqkumedxg1hrns" Type="http://schemas.openxmlformats.org/officeDocument/2006/relationships/hyperlink" Target="https://dalil.kg/document/4" TargetMode="External"/><Relationship Id="rIdm0g4k3n4ii0w4r2qw0efg" Type="http://schemas.openxmlformats.org/officeDocument/2006/relationships/hyperlink" Target="https://dalil.kg/document/4" TargetMode="External"/><Relationship Id="rId8wvmjzpmfdjcwdlq9rgcx" Type="http://schemas.openxmlformats.org/officeDocument/2006/relationships/hyperlink" Target="https://dalil.kg/document/10" TargetMode="External"/><Relationship Id="rIdtb3zg1jufdqj9ekiqsroh" Type="http://schemas.openxmlformats.org/officeDocument/2006/relationships/hyperlink" Target="https://dalil.kg/document/202591" TargetMode="External"/><Relationship Id="rIdw56xzatnbo2nfhihya5zr" Type="http://schemas.openxmlformats.org/officeDocument/2006/relationships/hyperlink" Target="https://dalil.kg/document/76491" TargetMode="External"/><Relationship Id="rIddfonjgudr7rrbjsb2cnxd" Type="http://schemas.openxmlformats.org/officeDocument/2006/relationships/hyperlink" Target="https://dalil.kg/document/76490" TargetMode="External"/><Relationship Id="rIdb5d8wkzr92lyze5hl7-_u" Type="http://schemas.openxmlformats.org/officeDocument/2006/relationships/hyperlink" Target="https://dalil.kg/document/76491" TargetMode="External"/><Relationship Id="rIdh-af6rf9pwtsmr7lf0l0e" Type="http://schemas.openxmlformats.org/officeDocument/2006/relationships/hyperlink" Target="https://dalil.kg/document/8" TargetMode="External"/><Relationship Id="rIdaxqoun5wpju2rvg8hqv3t" Type="http://schemas.openxmlformats.org/officeDocument/2006/relationships/hyperlink" Target="https://dalil.kg/document/10"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0h_epxw473a8vxoed1kz" Type="http://schemas.openxmlformats.org/officeDocument/2006/relationships/hyperlink" Target="https://dalil.kg/document/14202" TargetMode="External"/><Relationship Id="rIdygi5qjdvetauaii_5osp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2026-10-03T23:15:24.716Z</dcterms:created>
  <dcterms:modified xsi:type="dcterms:W3CDTF">2026-10-03T23:15:24.716Z</dcterms:modified>
</cp:coreProperties>
</file>

<file path=docProps/custom.xml><?xml version="1.0" encoding="utf-8"?>
<Properties xmlns="http://schemas.openxmlformats.org/officeDocument/2006/custom-properties" xmlns:vt="http://schemas.openxmlformats.org/officeDocument/2006/docPropsVTypes"/>
</file>