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6 июня 2019 года № 279</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(Закон Кыргызской Республики "О рекламе", Кодекс Кыргызской Республики о неналоговых доходах, Кодекс Кыргызской Республики о нарушениях)"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opfnzmucbyhkgypjq9kn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zn-mu5vvpn8pmltfzhqw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w:t>
      </w:r>
      <w:hyperlink w:history="1" r:id="rIdlnptn5knge1aeb__nzyq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o5nmzxjpxrge3prtfsh4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kwxsud2vvysfd-sm5xsb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6 июня 2019 года № 279</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дополнений и изменений в некоторые законодательные акты Кыргызской Республики (Закон Кыргызской Республики "О рекламе", Кодекс Кыргызской Республики о неналоговых доходах,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hgq_mdgtu7h-zeqa3w7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дополнений и изменений в некоторые законодательные акты Кыргызской Республики (</w:t>
      </w:r>
      <w:hyperlink w:history="1" r:id="rIdla0xoqazkrxg1lmvcuan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w:t>
      </w:r>
      <w:hyperlink w:history="1" r:id="rIdfhsnu-8jkfuoffxxr96w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w:t>
      </w:r>
      <w:hyperlink w:history="1" r:id="rIdpw2ktodvv10iqdvkxm0r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(далее - проект Закона), инициированный депутатами Жогорку Кенеша Кыргызской Республики Токторовым А.С., Алтыбаевой А.Т., Жээнбековым А.Ш., Алимбековым Н.К., Тиллаевым Т.Г., Турускуловым Ж.К., Торокуловым Д.Г., Керезбековым К.К., Исмаиловой А.Ж., Орозовой К.Б., Мавляновой М.Э., Осмоновой А.Ш., приходит к следующему заключению.</w:t>
      </w:r>
    </w:p>
    <w:p>
      <w:pPr>
        <w:spacing w:after="60"/>
        <w:ind w:firstLine="567"/>
        <w:jc w:val="both"/>
      </w:pPr>
      <w:r>
        <w:rPr>
          <w:rFonts w:ascii="Arial" w:cs="Arial" w:eastAsia="Arial" w:hAnsi="Arial"/>
          <w:sz w:val="24"/>
          <w:szCs w:val="24"/>
        </w:rPr>
        <w:t xml:space="preserve">1. Пунктом 2 статьи 2 проекта Закона </w:t>
      </w:r>
      <w:hyperlink w:history="1" r:id="rIdvwcvcj4vtwwop81a1ubo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неналоговых доходах предлагается дополнить главой 47-1, предусматривающей отчисления на совершенствование мер по защите здоровья граждан от последствий потребления табака и воздействия окружающего табачного дыма.</w:t>
      </w:r>
    </w:p>
    <w:p>
      <w:pPr>
        <w:spacing w:after="60"/>
        <w:ind w:firstLine="567"/>
        <w:jc w:val="both"/>
      </w:pPr>
      <w:r>
        <w:rPr>
          <w:rFonts w:ascii="Arial" w:cs="Arial" w:eastAsia="Arial" w:hAnsi="Arial"/>
          <w:sz w:val="24"/>
          <w:szCs w:val="24"/>
        </w:rPr>
        <w:t xml:space="preserve">При этом отмечаем, что пунктом 2 статьи 2 проекта Закона не предусмотрен механизм контроля за уплатой отчислений как отечественных, так и иностранных производителей табачных изделий, не прописан порядок уплаты иностранными производителями табачных изделий рассматриваемых отчислений (например, при администрировании акцизного налога на табачные изделия как отечественными так и иностранными производителями уплата налога осуществляется путем обозначения акцизной маркой), а также не определены администраторы данных отчислений.</w:t>
      </w:r>
    </w:p>
    <w:p>
      <w:pPr>
        <w:spacing w:after="60"/>
        <w:ind w:firstLine="567"/>
        <w:jc w:val="both"/>
      </w:pPr>
      <w:r>
        <w:rPr>
          <w:rFonts w:ascii="Arial" w:cs="Arial" w:eastAsia="Arial" w:hAnsi="Arial"/>
          <w:sz w:val="24"/>
          <w:szCs w:val="24"/>
        </w:rPr>
        <w:t xml:space="preserve">Следует отметить, что иностранный производитель не может быть плательщиком, поскольку осуществляет свою деятельность за пределами Кыргызской Республики, и на него не распространяются законодательные акты Кыргызской Республики.</w:t>
      </w:r>
    </w:p>
    <w:p>
      <w:pPr>
        <w:spacing w:after="60"/>
        <w:ind w:firstLine="567"/>
        <w:jc w:val="both"/>
      </w:pPr>
      <w:r>
        <w:rPr>
          <w:rFonts w:ascii="Arial" w:cs="Arial" w:eastAsia="Arial" w:hAnsi="Arial"/>
          <w:sz w:val="24"/>
          <w:szCs w:val="24"/>
        </w:rPr>
        <w:t xml:space="preserve">В связи с этим, считаем целесообразным по всему тексту статьи 2 проекта Закона слова "иностранные производители" заменить словом "импортеры".</w:t>
      </w:r>
    </w:p>
    <w:p>
      <w:pPr>
        <w:spacing w:after="60"/>
        <w:ind w:firstLine="567"/>
        <w:jc w:val="both"/>
      </w:pPr>
      <w:r>
        <w:rPr>
          <w:rFonts w:ascii="Arial" w:cs="Arial" w:eastAsia="Arial" w:hAnsi="Arial"/>
          <w:sz w:val="24"/>
          <w:szCs w:val="24"/>
        </w:rPr>
        <w:t xml:space="preserve">Кроме этого отмечаем, что регулирование вопросов в части распределения отчисления платежей республиканского бюджета, а также финансирования отдельных мероприятий осуществляется бюджетным законодательством.</w:t>
      </w:r>
    </w:p>
    <w:p>
      <w:pPr>
        <w:spacing w:after="60"/>
        <w:ind w:firstLine="567"/>
        <w:jc w:val="both"/>
      </w:pPr>
      <w:r>
        <w:rPr>
          <w:rFonts w:ascii="Arial" w:cs="Arial" w:eastAsia="Arial" w:hAnsi="Arial"/>
          <w:sz w:val="24"/>
          <w:szCs w:val="24"/>
        </w:rPr>
        <w:t xml:space="preserve">С учетом изложенного пункт 2 статьи 2 проекта Закона предлагаем дополнительно проанализировать и пересмотреть.</w:t>
      </w:r>
    </w:p>
    <w:p>
      <w:pPr>
        <w:spacing w:after="60"/>
        <w:ind w:firstLine="567"/>
        <w:jc w:val="both"/>
      </w:pPr>
      <w:r>
        <w:rPr>
          <w:rFonts w:ascii="Arial" w:cs="Arial" w:eastAsia="Arial" w:hAnsi="Arial"/>
          <w:i/>
          <w:iCs/>
          <w:sz w:val="24"/>
          <w:szCs w:val="24"/>
        </w:rPr>
        <w:t xml:space="preserve">Примечание "ЦБД": Количество абзацев в пункте 1 настоящего заключения не соответствует количеству абзацев в пункте 1 текста на государственном языке.</w:t>
      </w:r>
    </w:p>
    <w:p>
      <w:pPr>
        <w:spacing w:after="60"/>
        <w:ind w:firstLine="567"/>
        <w:jc w:val="both"/>
      </w:pPr>
      <w:r>
        <w:rPr>
          <w:rFonts w:ascii="Arial" w:cs="Arial" w:eastAsia="Arial" w:hAnsi="Arial"/>
          <w:sz w:val="24"/>
          <w:szCs w:val="24"/>
        </w:rPr>
        <w:t xml:space="preserve">2. В статье 3 проекта Закона предлагаем пересмотреть списки уполномоченных органов, рассматривающих дела о нарушениях, предусмотренных статьями </w:t>
      </w:r>
      <w:r>
        <w:rPr>
          <w:rFonts w:ascii="Arial" w:cs="Arial" w:eastAsia="Arial" w:hAnsi="Arial"/>
          <w:sz w:val="24"/>
          <w:szCs w:val="24"/>
        </w:rPr>
        <w:t xml:space="preserve">55</w:t>
      </w:r>
      <w:r>
        <w:rPr>
          <w:rFonts w:ascii="Arial" w:cs="Arial" w:eastAsia="Arial" w:hAnsi="Arial"/>
          <w:sz w:val="24"/>
          <w:szCs w:val="24"/>
        </w:rPr>
        <w:t xml:space="preserve"> и </w:t>
      </w:r>
      <w:r>
        <w:rPr>
          <w:rFonts w:ascii="Arial" w:cs="Arial" w:eastAsia="Arial" w:hAnsi="Arial"/>
          <w:sz w:val="24"/>
          <w:szCs w:val="24"/>
        </w:rPr>
        <w:t xml:space="preserve">55-1</w:t>
      </w:r>
      <w:r>
        <w:rPr>
          <w:rFonts w:ascii="Arial" w:cs="Arial" w:eastAsia="Arial" w:hAnsi="Arial"/>
          <w:sz w:val="24"/>
          <w:szCs w:val="24"/>
        </w:rPr>
        <w:t xml:space="preserve"> </w:t>
      </w:r>
      <w:hyperlink w:history="1" r:id="rIddual3ko2wuuyomd8bqn8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нарушениях - в соответствии с их компетенцией (органы налоговой службы и органы внутренних дел).</w:t>
      </w:r>
    </w:p>
    <w:p>
      <w:pPr>
        <w:spacing w:after="60"/>
        <w:ind w:firstLine="567"/>
        <w:jc w:val="both"/>
      </w:pPr>
      <w:r>
        <w:rPr>
          <w:rFonts w:ascii="Arial" w:cs="Arial" w:eastAsia="Arial" w:hAnsi="Arial"/>
          <w:sz w:val="24"/>
          <w:szCs w:val="24"/>
        </w:rPr>
        <w:t xml:space="preserve">3. Частью 2 статьи 4 проекта Закона предусматривается "Правительству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При этом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pirrwlu07e_ahlr67ehz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законопроекту.</w:t>
      </w:r>
    </w:p>
    <w:p>
      <w:pPr>
        <w:spacing w:after="60"/>
        <w:ind w:firstLine="567"/>
        <w:jc w:val="both"/>
      </w:pPr>
      <w:r>
        <w:rPr>
          <w:rFonts w:ascii="Arial" w:cs="Arial" w:eastAsia="Arial" w:hAnsi="Arial"/>
          <w:sz w:val="24"/>
          <w:szCs w:val="24"/>
        </w:rPr>
        <w:t xml:space="preserve">Ввиду этого предлагаем дополнить справку-обоснование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в силу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4. Относительно анализа регулятивного воздействия (далее - АРВ) к проекту Закона отмечаем, что представленный АРВ не соответствует требованиям </w:t>
      </w:r>
      <w:hyperlink w:history="1" r:id="rIdrew6g-v9viuk6a5hrjlaf">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lfrcttyznckzpodnxije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 (далее - Методика).</w:t>
      </w:r>
    </w:p>
    <w:p>
      <w:pPr>
        <w:spacing w:after="60"/>
        <w:ind w:firstLine="567"/>
        <w:jc w:val="both"/>
      </w:pPr>
      <w:r>
        <w:rPr>
          <w:rFonts w:ascii="Arial" w:cs="Arial" w:eastAsia="Arial" w:hAnsi="Arial"/>
          <w:sz w:val="24"/>
          <w:szCs w:val="24"/>
        </w:rPr>
        <w:t xml:space="preserve">В частности, при подготовке АРВ были нарушены следующие требования:</w:t>
      </w:r>
    </w:p>
    <w:p>
      <w:pPr>
        <w:spacing w:after="60"/>
        <w:ind w:firstLine="567"/>
        <w:jc w:val="both"/>
      </w:pPr>
      <w:r>
        <w:rPr>
          <w:rFonts w:ascii="Arial" w:cs="Arial" w:eastAsia="Arial" w:hAnsi="Arial"/>
          <w:sz w:val="24"/>
          <w:szCs w:val="24"/>
        </w:rPr>
        <w:t xml:space="preserve">1) Пунктами 6 и 7 </w:t>
      </w:r>
      <w:hyperlink w:history="1" r:id="rIdphxb3woa2oafgvqebhh7o">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установлено, что для проведения АРВ приказом государственного органа или органа местного самоуправления, инициирующего его проведение, утверждается рабочая группа, в состав которой включаются специалисты в области юриспруденции, финансов и экономики, в сфере вводимого регулирования, а также представители государственных органов и органов местного самоуправления, коммерческих организаций и предпринимателей (по согласованию). В случае необходимости в состав рабочей группы могут включаться и другие специалисты, а также представители других заинтересованных сторон.</w:t>
      </w:r>
    </w:p>
    <w:p>
      <w:pPr>
        <w:spacing w:after="60"/>
        <w:ind w:firstLine="567"/>
        <w:jc w:val="both"/>
      </w:pPr>
      <w:r>
        <w:rPr>
          <w:rFonts w:ascii="Arial" w:cs="Arial" w:eastAsia="Arial" w:hAnsi="Arial"/>
          <w:sz w:val="24"/>
          <w:szCs w:val="24"/>
        </w:rPr>
        <w:t xml:space="preserve">Так, результатом проведения АРВ является аналитическая записка, которая подписывается всеми членами рабочей группы по форме, приведенной в приложении к </w:t>
      </w:r>
      <w:hyperlink w:history="1" r:id="rIdsxhf3x4r2lpkfs8q7qfvm">
        <w:r>
          <w:rPr>
            <w:rFonts w:ascii="Arial" w:cs="Arial" w:eastAsia="Arial" w:hAnsi="Arial"/>
            <w:color w:val="1D4ED8"/>
            <w:sz w:val="24"/>
            <w:szCs w:val="24"/>
            <w:u w:val="single"/>
          </w:rPr>
          <w:t xml:space="preserve">Методике</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Также отмечаем, что пункт 13 указанной </w:t>
      </w:r>
      <w:hyperlink w:history="1" r:id="rIdklo1r2gq5wxjm22urs86w">
        <w:r>
          <w:rPr>
            <w:rFonts w:ascii="Arial" w:cs="Arial" w:eastAsia="Arial" w:hAnsi="Arial"/>
            <w:color w:val="1D4ED8"/>
            <w:sz w:val="24"/>
            <w:szCs w:val="24"/>
            <w:u w:val="single"/>
          </w:rPr>
          <w:t xml:space="preserve">Методики</w:t>
        </w:r>
      </w:hyperlink>
      <w:r>
        <w:rPr>
          <w:rFonts w:ascii="Arial" w:cs="Arial" w:eastAsia="Arial" w:hAnsi="Arial"/>
          <w:sz w:val="24"/>
          <w:szCs w:val="24"/>
        </w:rPr>
        <w:t xml:space="preserve"> предусматривает, что помимо вариантов регулирования "оставить все как есть", необходимо проработать не менее двух вариантов, предполагающих изменение государственного регулирования, для каждого из которых необходимо привести подробное описание по следующим пунктам:</w:t>
      </w:r>
    </w:p>
    <w:p>
      <w:pPr>
        <w:spacing w:after="60"/>
        <w:ind w:firstLine="567"/>
        <w:jc w:val="both"/>
      </w:pPr>
      <w:r>
        <w:rPr>
          <w:rFonts w:ascii="Arial" w:cs="Arial" w:eastAsia="Arial" w:hAnsi="Arial"/>
          <w:sz w:val="24"/>
          <w:szCs w:val="24"/>
        </w:rPr>
        <w:t xml:space="preserve">- способ регулирования;</w:t>
      </w:r>
    </w:p>
    <w:p>
      <w:pPr>
        <w:spacing w:after="60"/>
        <w:ind w:firstLine="567"/>
        <w:jc w:val="both"/>
      </w:pPr>
      <w:r>
        <w:rPr>
          <w:rFonts w:ascii="Arial" w:cs="Arial" w:eastAsia="Arial" w:hAnsi="Arial"/>
          <w:sz w:val="24"/>
          <w:szCs w:val="24"/>
        </w:rPr>
        <w:t xml:space="preserve">- регулятивное воздействие;</w:t>
      </w:r>
    </w:p>
    <w:p>
      <w:pPr>
        <w:spacing w:after="60"/>
        <w:ind w:firstLine="567"/>
        <w:jc w:val="both"/>
      </w:pPr>
      <w:r>
        <w:rPr>
          <w:rFonts w:ascii="Arial" w:cs="Arial" w:eastAsia="Arial" w:hAnsi="Arial"/>
          <w:sz w:val="24"/>
          <w:szCs w:val="24"/>
        </w:rPr>
        <w:t xml:space="preserve">- реализационные риски;</w:t>
      </w:r>
    </w:p>
    <w:p>
      <w:pPr>
        <w:spacing w:after="60"/>
        <w:ind w:firstLine="567"/>
        <w:jc w:val="both"/>
      </w:pPr>
      <w:r>
        <w:rPr>
          <w:rFonts w:ascii="Arial" w:cs="Arial" w:eastAsia="Arial" w:hAnsi="Arial"/>
          <w:sz w:val="24"/>
          <w:szCs w:val="24"/>
        </w:rPr>
        <w:t xml:space="preserve">- правовой и иные анализы;</w:t>
      </w:r>
    </w:p>
    <w:p>
      <w:pPr>
        <w:spacing w:after="60"/>
        <w:ind w:firstLine="567"/>
        <w:jc w:val="both"/>
      </w:pPr>
      <w:r>
        <w:rPr>
          <w:rFonts w:ascii="Arial" w:cs="Arial" w:eastAsia="Arial" w:hAnsi="Arial"/>
          <w:sz w:val="24"/>
          <w:szCs w:val="24"/>
        </w:rPr>
        <w:t xml:space="preserve">- экономический анализ;</w:t>
      </w:r>
    </w:p>
    <w:p>
      <w:pPr>
        <w:spacing w:after="60"/>
        <w:ind w:firstLine="567"/>
        <w:jc w:val="both"/>
      </w:pPr>
      <w:r>
        <w:rPr>
          <w:rFonts w:ascii="Arial" w:cs="Arial" w:eastAsia="Arial" w:hAnsi="Arial"/>
          <w:sz w:val="24"/>
          <w:szCs w:val="24"/>
        </w:rPr>
        <w:t xml:space="preserve">- результаты общественных обсуждений.</w:t>
      </w:r>
    </w:p>
    <w:p>
      <w:pPr>
        <w:spacing w:after="60"/>
        <w:ind w:firstLine="567"/>
        <w:jc w:val="both"/>
      </w:pPr>
      <w:r>
        <w:rPr>
          <w:rFonts w:ascii="Arial" w:cs="Arial" w:eastAsia="Arial" w:hAnsi="Arial"/>
          <w:sz w:val="24"/>
          <w:szCs w:val="24"/>
        </w:rPr>
        <w:t xml:space="preserve">В этой связи, в целях обеспечения возможности полноценного сравнения предлагаемых вариантов регулирования и впоследствии принятия обоснованного решения отмечаем необходимость разработки альтернативного варианта регулирования и приведения описания по вышеуказанным пунктам.</w:t>
      </w:r>
    </w:p>
    <w:p>
      <w:pPr>
        <w:spacing w:after="60"/>
        <w:ind w:firstLine="567"/>
        <w:jc w:val="both"/>
      </w:pPr>
      <w:r>
        <w:rPr>
          <w:rFonts w:ascii="Arial" w:cs="Arial" w:eastAsia="Arial" w:hAnsi="Arial"/>
          <w:sz w:val="24"/>
          <w:szCs w:val="24"/>
        </w:rPr>
        <w:t xml:space="preserve">5. В целом отмечаем, что наименование и положения проекта Закона нуждаются в доработке, с учетом требований </w:t>
      </w:r>
      <w:hyperlink w:history="1" r:id="rIdntsqidwgqeyxujvtpn7v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и </w:t>
      </w:r>
      <w:hyperlink w:history="1" r:id="rIdrbkgnufep1vl4jazgj50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wv-kkicb3vj54--mdqnh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указанного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fnkpuojatcf8qavlwlw">
      <w:r>
        <w:rPr>
          <w:rFonts w:ascii="Arial" w:cs="Arial" w:eastAsia="Arial" w:hAnsi="Arial"/>
          <w:color w:val="132D3F"/>
          <w:sz w:val="16"/>
          <w:szCs w:val="16"/>
          <w:u w:val="single"/>
        </w:rPr>
        <w:t xml:space="preserve">dalil.kg/document/14204</w:t>
      </w:r>
    </w:hyperlink>
  </w:p>
  <w:p>
    <w:pPr>
      <w:spacing w:after="0" w:before="40"/>
      <w:jc w:val="center"/>
    </w:pPr>
    <w:hyperlink w:history="1" r:id="rIdhqohqf60mhoov64vgcl9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pfnzmucbyhkgypjq9kn3" Type="http://schemas.openxmlformats.org/officeDocument/2006/relationships/hyperlink" Target="https://dalil.kg/document/203685" TargetMode="External"/><Relationship Id="rIdzn-mu5vvpn8pmltfzhqwa" Type="http://schemas.openxmlformats.org/officeDocument/2006/relationships/hyperlink" Target="https://dalil.kg/document/14204#p1" TargetMode="External"/><Relationship Id="rIdlnptn5knge1aeb__nzyqj" Type="http://schemas.openxmlformats.org/officeDocument/2006/relationships/hyperlink" Target="https://dalil.kg/document/162" TargetMode="External"/><Relationship Id="rIdo5nmzxjpxrge3prtfsh4b" Type="http://schemas.openxmlformats.org/officeDocument/2006/relationships/hyperlink" Target="https://dalil.kg/document/111820" TargetMode="External"/><Relationship Id="rIdkwxsud2vvysfd-sm5xsbp" Type="http://schemas.openxmlformats.org/officeDocument/2006/relationships/hyperlink" Target="https://dalil.kg/document/111565" TargetMode="External"/><Relationship Id="rIdahgq_mdgtu7h-zeqa3w71" Type="http://schemas.openxmlformats.org/officeDocument/2006/relationships/hyperlink" Target="https://dalil.kg/document/203685" TargetMode="External"/><Relationship Id="rIdla0xoqazkrxg1lmvcuanm" Type="http://schemas.openxmlformats.org/officeDocument/2006/relationships/hyperlink" Target="https://dalil.kg/document/162" TargetMode="External"/><Relationship Id="rIdfhsnu-8jkfuoffxxr96wa" Type="http://schemas.openxmlformats.org/officeDocument/2006/relationships/hyperlink" Target="https://dalil.kg/document/111820" TargetMode="External"/><Relationship Id="rIdpw2ktodvv10iqdvkxm0rb" Type="http://schemas.openxmlformats.org/officeDocument/2006/relationships/hyperlink" Target="https://dalil.kg/document/111565" TargetMode="External"/><Relationship Id="rIdvwcvcj4vtwwop81a1uboj" Type="http://schemas.openxmlformats.org/officeDocument/2006/relationships/hyperlink" Target="https://dalil.kg/document/111820" TargetMode="External"/><Relationship Id="rIddual3ko2wuuyomd8bqn8c" Type="http://schemas.openxmlformats.org/officeDocument/2006/relationships/hyperlink" Target="https://dalil.kg/document/111565" TargetMode="External"/><Relationship Id="rIdpirrwlu07e_ahlr67ehzi" Type="http://schemas.openxmlformats.org/officeDocument/2006/relationships/hyperlink" Target="https://dalil.kg/document/202591" TargetMode="External"/><Relationship Id="rIdrew6g-v9viuk6a5hrjlaf" Type="http://schemas.openxmlformats.org/officeDocument/2006/relationships/hyperlink" Target="https://dalil.kg/document/97019" TargetMode="External"/><Relationship Id="rIdlfrcttyznckzpodnxijeh" Type="http://schemas.openxmlformats.org/officeDocument/2006/relationships/hyperlink" Target="https://dalil.kg/document/97018" TargetMode="External"/><Relationship Id="rIdphxb3woa2oafgvqebhh7o" Type="http://schemas.openxmlformats.org/officeDocument/2006/relationships/hyperlink" Target="https://dalil.kg/document/97019" TargetMode="External"/><Relationship Id="rIdsxhf3x4r2lpkfs8q7qfvm" Type="http://schemas.openxmlformats.org/officeDocument/2006/relationships/hyperlink" Target="https://dalil.kg/document/97019" TargetMode="External"/><Relationship Id="rIdklo1r2gq5wxjm22urs86w" Type="http://schemas.openxmlformats.org/officeDocument/2006/relationships/hyperlink" Target="https://dalil.kg/document/97019" TargetMode="External"/><Relationship Id="rIdntsqidwgqeyxujvtpn7v1" Type="http://schemas.openxmlformats.org/officeDocument/2006/relationships/hyperlink" Target="https://dalil.kg/document/202591" TargetMode="External"/><Relationship Id="rIdrbkgnufep1vl4jazgj50k" Type="http://schemas.openxmlformats.org/officeDocument/2006/relationships/hyperlink" Target="https://dalil.kg/document/76491" TargetMode="External"/><Relationship Id="rIdwv-kkicb3vj54--mdqnh3"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fnkpuojatcf8qavlwlw" Type="http://schemas.openxmlformats.org/officeDocument/2006/relationships/hyperlink" Target="https://dalil.kg/document/14204" TargetMode="External"/><Relationship Id="rIdhqohqf60mhoov64vgcl9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2026-10-03T23:15:25.906Z</dcterms:created>
  <dcterms:modified xsi:type="dcterms:W3CDTF">2026-10-03T23:15:25.906Z</dcterms:modified>
</cp:coreProperties>
</file>

<file path=docProps/custom.xml><?xml version="1.0" encoding="utf-8"?>
<Properties xmlns="http://schemas.openxmlformats.org/officeDocument/2006/custom-properties" xmlns:vt="http://schemas.openxmlformats.org/officeDocument/2006/docPropsVTypes"/>
</file>