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июня 2019 года № 280</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un9nfq31lrj5d24bquo9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ptxuhylbjwwomsqnsmms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6 июня 2019 года № 280</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g8aeakidwmtv_dppkpp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 (далее - проект Закона),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 приходит к следующему заключению.</w:t>
      </w:r>
    </w:p>
    <w:p>
      <w:pPr>
        <w:spacing w:after="60"/>
        <w:ind w:firstLine="567"/>
        <w:jc w:val="both"/>
      </w:pPr>
      <w:r>
        <w:rPr>
          <w:rFonts w:ascii="Arial" w:cs="Arial" w:eastAsia="Arial" w:hAnsi="Arial"/>
          <w:sz w:val="24"/>
          <w:szCs w:val="24"/>
        </w:rPr>
        <w:t xml:space="preserve">1. Следует отметить, что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qxxh8o9bln1z49qltpae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представляет собой самостоятельную, не являющуюся обязательной, часть нормативного правового акта, содержащую информацию о причинах, условиях и целях его принятия (издания).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В связи с этим преамбулу проекта Закона, определяющую предмет регулирования нормативного правового акта, предлагаем конкретизировать и изложить в виде самостоятельной статьи.</w:t>
      </w:r>
    </w:p>
    <w:p>
      <w:pPr>
        <w:spacing w:after="60"/>
        <w:ind w:firstLine="567"/>
        <w:jc w:val="both"/>
      </w:pPr>
      <w:r>
        <w:rPr>
          <w:rFonts w:ascii="Arial" w:cs="Arial" w:eastAsia="Arial" w:hAnsi="Arial"/>
          <w:sz w:val="24"/>
          <w:szCs w:val="24"/>
        </w:rPr>
        <w:t xml:space="preserve">2. В пункте 9 части 1 статьи 2 проекта Закона слова "обязательный для исполнения" и "и требований" предлагаем исключить, так как в соответствии с </w:t>
      </w:r>
      <w:hyperlink w:history="1" r:id="rId-yi9-5pb54cfs0ibn-3w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обязательные требования устанавливаются в технических регламентах.</w:t>
      </w:r>
    </w:p>
    <w:p>
      <w:pPr>
        <w:spacing w:after="60"/>
        <w:ind w:firstLine="567"/>
        <w:jc w:val="both"/>
      </w:pPr>
      <w:r>
        <w:rPr>
          <w:rFonts w:ascii="Arial" w:cs="Arial" w:eastAsia="Arial" w:hAnsi="Arial"/>
          <w:sz w:val="24"/>
          <w:szCs w:val="24"/>
        </w:rPr>
        <w:t xml:space="preserve">Помимо этого, отмечаем, что в части 1 статьи 2 проекта Закона предусмотрены аналогичные понятия (например, "некурительные табачные изделия", "табачное изделие", "курительные принадлежности"), содержание которых не соответствует понятиям, приведенным в Техническом регламенте Таможенного союза "Технический регламент на табачную продукцию" (ТР ТС 035/2014), принятом решением Совета Евразийской экономической комиссии от 12 ноября 2014 года № 107.</w:t>
      </w:r>
    </w:p>
    <w:p>
      <w:pPr>
        <w:spacing w:after="60"/>
        <w:ind w:firstLine="567"/>
        <w:jc w:val="both"/>
      </w:pPr>
      <w:r>
        <w:rPr>
          <w:rFonts w:ascii="Arial" w:cs="Arial" w:eastAsia="Arial" w:hAnsi="Arial"/>
          <w:sz w:val="24"/>
          <w:szCs w:val="24"/>
        </w:rPr>
        <w:t xml:space="preserve">В связи с этим, учитывая требования нормотворческой техники, изложенные в </w:t>
      </w:r>
      <w:r>
        <w:rPr>
          <w:rFonts w:ascii="Arial" w:cs="Arial" w:eastAsia="Arial" w:hAnsi="Arial"/>
          <w:sz w:val="24"/>
          <w:szCs w:val="24"/>
        </w:rPr>
        <w:t xml:space="preserve">главе 3</w:t>
      </w:r>
      <w:r>
        <w:rPr>
          <w:rFonts w:ascii="Arial" w:cs="Arial" w:eastAsia="Arial" w:hAnsi="Arial"/>
          <w:sz w:val="24"/>
          <w:szCs w:val="24"/>
        </w:rPr>
        <w:t xml:space="preserve"> </w:t>
      </w:r>
      <w:hyperlink w:history="1" r:id="rIdtula7a1xkkc_yleuggb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предлагаем часть 1 статьи 2 проекта Закона доработать, с использованием четких и однозначных понятий, с учетом положений указанного Технического регламента.</w:t>
      </w:r>
    </w:p>
    <w:p>
      <w:pPr>
        <w:spacing w:after="60"/>
        <w:ind w:firstLine="567"/>
        <w:jc w:val="both"/>
      </w:pPr>
      <w:r>
        <w:rPr>
          <w:rFonts w:ascii="Arial" w:cs="Arial" w:eastAsia="Arial" w:hAnsi="Arial"/>
          <w:sz w:val="24"/>
          <w:szCs w:val="24"/>
        </w:rPr>
        <w:t xml:space="preserve">3. Согласно части 3 </w:t>
      </w:r>
      <w:r>
        <w:rPr>
          <w:rFonts w:ascii="Arial" w:cs="Arial" w:eastAsia="Arial" w:hAnsi="Arial"/>
          <w:sz w:val="24"/>
          <w:szCs w:val="24"/>
        </w:rPr>
        <w:t xml:space="preserve">статьи 6</w:t>
      </w:r>
      <w:r>
        <w:rPr>
          <w:rFonts w:ascii="Arial" w:cs="Arial" w:eastAsia="Arial" w:hAnsi="Arial"/>
          <w:sz w:val="24"/>
          <w:szCs w:val="24"/>
        </w:rPr>
        <w:t xml:space="preserve"> </w:t>
      </w:r>
      <w:hyperlink w:history="1" r:id="rIdqworgehiz3nlo36luuib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Порядок и условия применения международных договоров и общепризнанных принципов и норм международного права определяются законами.</w:t>
      </w:r>
    </w:p>
    <w:p>
      <w:pPr>
        <w:spacing w:after="60"/>
        <w:ind w:firstLine="567"/>
        <w:jc w:val="both"/>
      </w:pPr>
      <w:r>
        <w:rPr>
          <w:rFonts w:ascii="Arial" w:cs="Arial" w:eastAsia="Arial" w:hAnsi="Arial"/>
          <w:sz w:val="24"/>
          <w:szCs w:val="24"/>
        </w:rPr>
        <w:t xml:space="preserve">В связи с этим часть 2 статьи 3 и часть 1 статьи 21 проекта Закона предлагаем пересмотреть и привести в соответствие с частью 3 </w:t>
      </w:r>
      <w:r>
        <w:rPr>
          <w:rFonts w:ascii="Arial" w:cs="Arial" w:eastAsia="Arial" w:hAnsi="Arial"/>
          <w:sz w:val="24"/>
          <w:szCs w:val="24"/>
        </w:rPr>
        <w:t xml:space="preserve">статьи 6</w:t>
      </w:r>
      <w:r>
        <w:rPr>
          <w:rFonts w:ascii="Arial" w:cs="Arial" w:eastAsia="Arial" w:hAnsi="Arial"/>
          <w:sz w:val="24"/>
          <w:szCs w:val="24"/>
        </w:rPr>
        <w:t xml:space="preserve"> </w:t>
      </w:r>
      <w:hyperlink w:history="1" r:id="rIdlfv6-omtmede1bapbcdg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Статью 4 проекта Закона предлагаем пересмотреть, поскольку порядок заключения, исполнения, приостановления и денонсации международных договоров регламентированы нормами </w:t>
      </w:r>
      <w:hyperlink w:history="1" r:id="rIdizelrdjmracbi23tnbk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5. Редакцию статьи 5 проекта Закона предлагаем пересмотреть, поскольку указанная статья проекта Закона не предусматривает конкретные нормы, регулирующие обращение электронных систем доставки никотина и электронных систем доставки продуктов, не являющихся никотином, а содержит обобщенные отсылочные нормы на другие нормативные правовые акты.</w:t>
      </w:r>
    </w:p>
    <w:p>
      <w:pPr>
        <w:spacing w:after="60"/>
        <w:ind w:firstLine="567"/>
        <w:jc w:val="both"/>
      </w:pPr>
      <w:r>
        <w:rPr>
          <w:rFonts w:ascii="Arial" w:cs="Arial" w:eastAsia="Arial" w:hAnsi="Arial"/>
          <w:sz w:val="24"/>
          <w:szCs w:val="24"/>
        </w:rPr>
        <w:t xml:space="preserve">6. Пункты 5 и 9 статьи 8 проекта Закона предлагаем пересмотреть, с учетом норм законодательства в сфере государственной и муниципальной службы и </w:t>
      </w:r>
      <w:hyperlink w:history="1" r:id="rIdozgrxwxwalfxdyrlfbt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конфликте интересов".</w:t>
      </w:r>
    </w:p>
    <w:p>
      <w:pPr>
        <w:spacing w:after="60"/>
        <w:ind w:firstLine="567"/>
        <w:jc w:val="both"/>
      </w:pPr>
      <w:r>
        <w:rPr>
          <w:rFonts w:ascii="Arial" w:cs="Arial" w:eastAsia="Arial" w:hAnsi="Arial"/>
          <w:sz w:val="24"/>
          <w:szCs w:val="24"/>
        </w:rPr>
        <w:t xml:space="preserve">7. Пунктом 7 статьи 8 проекта Закона предлагается установить, что "табачная промышленность и юридические лица, получающие от нее финансовую помощь, обязаны представлять по запросу заинтересованным государственным органам информацию о затратах на маркетинг, доходных статьях и любому другому виду деятельности, включая лоббирование, благотворительность, взносы в политическую деятельность и в другие виды деятельности".</w:t>
      </w:r>
    </w:p>
    <w:p>
      <w:pPr>
        <w:spacing w:after="60"/>
        <w:ind w:firstLine="567"/>
        <w:jc w:val="both"/>
      </w:pPr>
      <w:r>
        <w:rPr>
          <w:rFonts w:ascii="Arial" w:cs="Arial" w:eastAsia="Arial" w:hAnsi="Arial"/>
          <w:sz w:val="24"/>
          <w:szCs w:val="24"/>
        </w:rPr>
        <w:t xml:space="preserve">При этом следует учесть, что согласно </w:t>
      </w:r>
      <w:r>
        <w:rPr>
          <w:rFonts w:ascii="Arial" w:cs="Arial" w:eastAsia="Arial" w:hAnsi="Arial"/>
          <w:sz w:val="24"/>
          <w:szCs w:val="24"/>
        </w:rPr>
        <w:t xml:space="preserve">статье 2</w:t>
      </w:r>
      <w:r>
        <w:rPr>
          <w:rFonts w:ascii="Arial" w:cs="Arial" w:eastAsia="Arial" w:hAnsi="Arial"/>
          <w:sz w:val="24"/>
          <w:szCs w:val="24"/>
        </w:rPr>
        <w:t xml:space="preserve"> Гражданского </w:t>
      </w:r>
      <w:hyperlink w:history="1" r:id="rIdxgufisa81mkzbwbrhyg9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Граждане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84</w:t>
      </w:r>
      <w:r>
        <w:rPr>
          <w:rFonts w:ascii="Arial" w:cs="Arial" w:eastAsia="Arial" w:hAnsi="Arial"/>
          <w:sz w:val="24"/>
          <w:szCs w:val="24"/>
        </w:rPr>
        <w:t xml:space="preserve"> указанного </w:t>
      </w:r>
      <w:hyperlink w:history="1" r:id="rIdfxry1ogb23el_bmrwsdd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юридическое лицо может иметь гражданские права, соответствующие целям деятельности, предусмотренным в учредительных документах, и нести связанные с этой деятельностью обязанности.</w:t>
      </w:r>
    </w:p>
    <w:p>
      <w:pPr>
        <w:spacing w:after="60"/>
        <w:ind w:firstLine="567"/>
        <w:jc w:val="both"/>
      </w:pPr>
      <w:r>
        <w:rPr>
          <w:rFonts w:ascii="Arial" w:cs="Arial" w:eastAsia="Arial" w:hAnsi="Arial"/>
          <w:sz w:val="24"/>
          <w:szCs w:val="24"/>
        </w:rPr>
        <w:t xml:space="preserve">Аналогичное замечание по части 1 статьи 18 проекта Закона.</w:t>
      </w:r>
    </w:p>
    <w:p>
      <w:pPr>
        <w:spacing w:after="60"/>
        <w:ind w:firstLine="567"/>
        <w:jc w:val="both"/>
      </w:pPr>
      <w:r>
        <w:rPr>
          <w:rFonts w:ascii="Arial" w:cs="Arial" w:eastAsia="Arial" w:hAnsi="Arial"/>
          <w:sz w:val="24"/>
          <w:szCs w:val="24"/>
        </w:rPr>
        <w:t xml:space="preserve">Также, проектом Закона не раскрывается понятие терминов "лоббирование" и "групп прикрытия".</w:t>
      </w:r>
    </w:p>
    <w:p>
      <w:pPr>
        <w:spacing w:after="60"/>
        <w:ind w:firstLine="567"/>
        <w:jc w:val="both"/>
      </w:pPr>
      <w:r>
        <w:rPr>
          <w:rFonts w:ascii="Arial" w:cs="Arial" w:eastAsia="Arial" w:hAnsi="Arial"/>
          <w:sz w:val="24"/>
          <w:szCs w:val="24"/>
        </w:rPr>
        <w:t xml:space="preserve">8. В пункте 4 статьи 8, частях 12 и 14 статьи 15, части 15 статьи 16, частях 2-5 статьи 18, пункте 2 части 2 статьи 19, части 3 статьи 20, части 1 статьи 21, пункте 5 части 1 статьи 22 и части 2 статьи 24 проекта Закона использованы бланкетные ссылки на законодательство Кыргызской Республики.</w:t>
      </w:r>
    </w:p>
    <w:p>
      <w:pPr>
        <w:spacing w:after="60"/>
        <w:ind w:firstLine="567"/>
        <w:jc w:val="both"/>
      </w:pPr>
      <w:r>
        <w:rPr>
          <w:rFonts w:ascii="Arial" w:cs="Arial" w:eastAsia="Arial" w:hAnsi="Arial"/>
          <w:sz w:val="24"/>
          <w:szCs w:val="24"/>
        </w:rPr>
        <w:t xml:space="preserve">Между тем отмечаем, что понятие "законодательство" является обобщенным понятием и носит расплывчатый характер, предоставляющий возможность широкой трактовки. Так,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cgvrwynxyjavzxdg24b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w:t>
      </w:r>
    </w:p>
    <w:p>
      <w:pPr>
        <w:spacing w:after="60"/>
        <w:ind w:firstLine="567"/>
        <w:jc w:val="both"/>
      </w:pPr>
      <w:r>
        <w:rPr>
          <w:rFonts w:ascii="Arial" w:cs="Arial" w:eastAsia="Arial" w:hAnsi="Arial"/>
          <w:sz w:val="24"/>
          <w:szCs w:val="24"/>
        </w:rPr>
        <w:t xml:space="preserve">В связи с этим, учитывая, что согласно пункту 78 </w:t>
      </w:r>
      <w:hyperlink w:history="1" r:id="rIdii94kf8o0nuqvedr2kga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g6jxd2gyju146vzl4ebo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 вышеуказанные статьи проекта Закона предлагаем пересмотреть.</w:t>
      </w:r>
    </w:p>
    <w:p>
      <w:pPr>
        <w:spacing w:after="60"/>
        <w:ind w:firstLine="567"/>
        <w:jc w:val="both"/>
      </w:pPr>
      <w:r>
        <w:rPr>
          <w:rFonts w:ascii="Arial" w:cs="Arial" w:eastAsia="Arial" w:hAnsi="Arial"/>
          <w:sz w:val="24"/>
          <w:szCs w:val="24"/>
        </w:rPr>
        <w:t xml:space="preserve">9. Согласно информации, указанной в справке-обосновании к проекту Закона, принятие данного проекта Закона не повлечет дополнительных финансовых затрат из республиканского бюджета.</w:t>
      </w:r>
    </w:p>
    <w:p>
      <w:pPr>
        <w:spacing w:after="60"/>
        <w:ind w:firstLine="567"/>
        <w:jc w:val="both"/>
      </w:pPr>
      <w:r>
        <w:rPr>
          <w:rFonts w:ascii="Arial" w:cs="Arial" w:eastAsia="Arial" w:hAnsi="Arial"/>
          <w:sz w:val="24"/>
          <w:szCs w:val="24"/>
        </w:rPr>
        <w:t xml:space="preserve">Вместе с тем отмечаем, что согласно пункту 2 статьи 7 проекта Закона государством гарантируются разработка, принятие, внедрение и финансирование государственных программ, включая медико-информационный регламент, иных социально-экономических мер, направленных на снижение предложения табака и спроса на табачные изделия.</w:t>
      </w:r>
    </w:p>
    <w:p>
      <w:pPr>
        <w:spacing w:after="60"/>
        <w:ind w:firstLine="567"/>
        <w:jc w:val="both"/>
      </w:pPr>
      <w:r>
        <w:rPr>
          <w:rFonts w:ascii="Arial" w:cs="Arial" w:eastAsia="Arial" w:hAnsi="Arial"/>
          <w:sz w:val="24"/>
          <w:szCs w:val="24"/>
        </w:rPr>
        <w:t xml:space="preserve">Также частью 2 статьи 11 проекта Закона устанавливается, что "Правительство Кыргызской Республики определяет порядок и обеспечивает финансирование консультативной, информационной и исследовательской работы некоммерческих организаций по сокращению потребления табака".</w:t>
      </w:r>
    </w:p>
    <w:p>
      <w:pPr>
        <w:spacing w:after="60"/>
        <w:ind w:firstLine="567"/>
        <w:jc w:val="both"/>
      </w:pPr>
      <w:r>
        <w:rPr>
          <w:rFonts w:ascii="Arial" w:cs="Arial" w:eastAsia="Arial" w:hAnsi="Arial"/>
          <w:sz w:val="24"/>
          <w:szCs w:val="24"/>
        </w:rPr>
        <w:t xml:space="preserve">Из этого следует, что практическая реализация предусмотренных в проекте Закона вышеуказанных норм требует принятия комплекса организационных, технических и финансовых мер, с учетом реальных финансовых возможностей страны.</w:t>
      </w:r>
    </w:p>
    <w:p>
      <w:pPr>
        <w:spacing w:after="60"/>
        <w:ind w:firstLine="567"/>
        <w:jc w:val="both"/>
      </w:pPr>
      <w:r>
        <w:rPr>
          <w:rFonts w:ascii="Arial" w:cs="Arial" w:eastAsia="Arial" w:hAnsi="Arial"/>
          <w:sz w:val="24"/>
          <w:szCs w:val="24"/>
        </w:rPr>
        <w:t xml:space="preserve">В свою очередь, следует обратить внимание на то, что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5xsxdqz_88vnm-m4k1mn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erfafmo6yxwwlsdks3uf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10. Относительно пунктов 1 и 2 статьи 12 проекта Закона отмечаем, что </w:t>
      </w:r>
      <w:hyperlink w:history="1" r:id="rIdpvu_18oo0mzfpeozbji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внутренней торговле в Кыргызской Республике" не предусмотрено проведение ценовой политики в отношении всех видов табачных изделий, в связи с чем предлагаем предусмотреть в проекте Закона норму о государственном регулировании цен на все виды табачных изделий, включая насвай.</w:t>
      </w:r>
    </w:p>
    <w:p>
      <w:pPr>
        <w:spacing w:after="60"/>
        <w:ind w:firstLine="567"/>
        <w:jc w:val="both"/>
      </w:pPr>
      <w:r>
        <w:rPr>
          <w:rFonts w:ascii="Arial" w:cs="Arial" w:eastAsia="Arial" w:hAnsi="Arial"/>
          <w:sz w:val="24"/>
          <w:szCs w:val="24"/>
        </w:rPr>
        <w:t xml:space="preserve">11. Отмечаем, что в тексте проекта Закона предусмотрены полномочия и компетенция уполномоченных государственных органов в области здравоохранения и стандартизации.</w:t>
      </w:r>
    </w:p>
    <w:p>
      <w:pPr>
        <w:spacing w:after="60"/>
        <w:ind w:firstLine="567"/>
        <w:jc w:val="both"/>
      </w:pPr>
      <w:r>
        <w:rPr>
          <w:rFonts w:ascii="Arial" w:cs="Arial" w:eastAsia="Arial" w:hAnsi="Arial"/>
          <w:sz w:val="24"/>
          <w:szCs w:val="24"/>
        </w:rPr>
        <w:t xml:space="preserve">В частности, в части 2 статьи 10 проекта Закона устанавливается, что "на основании результатов научных исследований, эпидемиологического надзора и мониторинга уполномоченный государственный орган в области здравоохранения проводит анализ и оценку эффективности реализации мер, направленных на сокращение потребления табака и предотвращение воздействия окружающего табачного дыма (аэрозоля) на здоровье, и представляет отчет в Правительство Кыргызской Республики для определения курса дальнейших мероприятий по защите здоровья граждан Кыргызской Республики от воздействия табака".</w:t>
      </w:r>
    </w:p>
    <w:p>
      <w:pPr>
        <w:spacing w:after="60"/>
        <w:ind w:firstLine="567"/>
        <w:jc w:val="both"/>
      </w:pPr>
      <w:r>
        <w:rPr>
          <w:rFonts w:ascii="Arial" w:cs="Arial" w:eastAsia="Arial" w:hAnsi="Arial"/>
          <w:sz w:val="24"/>
          <w:szCs w:val="24"/>
        </w:rPr>
        <w:t xml:space="preserve">Также согласно части 3 статьи 14 проекта Закона предусматривается, что "контроль за соответствием курительных табачных изделий, производимых в Кыргызской Республике и/или ввозимых на территорию Кыргызской Республики, нормам Технического регламента Таможенного союза "Технический регламент на табачную продукцию" (ТР ТС 035/2014) осуществляется уполномоченными государственными органами в области здравоохранения и стандартизации".</w:t>
      </w:r>
    </w:p>
    <w:p>
      <w:pPr>
        <w:spacing w:after="60"/>
        <w:ind w:firstLine="567"/>
        <w:jc w:val="both"/>
      </w:pPr>
      <w:r>
        <w:rPr>
          <w:rFonts w:ascii="Arial" w:cs="Arial" w:eastAsia="Arial" w:hAnsi="Arial"/>
          <w:sz w:val="24"/>
          <w:szCs w:val="24"/>
        </w:rPr>
        <w:t xml:space="preserve">Аналогичные нормы содержатся в части 14 статьи 15, статье 18 и в других статьях проекта Закона.</w:t>
      </w:r>
    </w:p>
    <w:p>
      <w:pPr>
        <w:spacing w:after="60"/>
        <w:ind w:firstLine="567"/>
        <w:jc w:val="both"/>
      </w:pPr>
      <w:r>
        <w:rPr>
          <w:rFonts w:ascii="Arial" w:cs="Arial" w:eastAsia="Arial" w:hAnsi="Arial"/>
          <w:sz w:val="24"/>
          <w:szCs w:val="24"/>
        </w:rPr>
        <w:t xml:space="preserve">Вместе с тем, следует отметить, что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0grurnerzvlisdgqyfi8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исходя из полномочий, указанных в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w:t>
      </w:r>
    </w:p>
    <w:p>
      <w:pPr>
        <w:spacing w:after="60"/>
        <w:ind w:firstLine="567"/>
        <w:jc w:val="both"/>
      </w:pPr>
      <w:r>
        <w:rPr>
          <w:rFonts w:ascii="Arial" w:cs="Arial" w:eastAsia="Arial" w:hAnsi="Arial"/>
          <w:sz w:val="24"/>
          <w:szCs w:val="24"/>
        </w:rPr>
        <w:t xml:space="preserve">Распределение функций осуществляется посредством утверждения положений о вышеназванных государственных органах, детально регламентирующих правовой статус, организацию, порядок деятельности, их права, обязанности, ответственность, а также определяющих их взаимоотношения с другими органами, учреждениями и гражданами.</w:t>
      </w:r>
    </w:p>
    <w:p>
      <w:pPr>
        <w:spacing w:after="60"/>
        <w:ind w:firstLine="567"/>
        <w:jc w:val="both"/>
      </w:pPr>
      <w:r>
        <w:rPr>
          <w:rFonts w:ascii="Arial" w:cs="Arial" w:eastAsia="Arial" w:hAnsi="Arial"/>
          <w:sz w:val="24"/>
          <w:szCs w:val="24"/>
        </w:rPr>
        <w:t xml:space="preserve">Учитывая вышеизложенное, предлагаем исключить из проекта Закона соответствующие положения, регламентирующие полномочия и компетенцию вышеназванных уполномоченных государственных органов, и, при необходимости, трансформировать их в нормативные предписания.</w:t>
      </w:r>
    </w:p>
    <w:p>
      <w:pPr>
        <w:spacing w:after="60"/>
        <w:ind w:firstLine="567"/>
        <w:jc w:val="both"/>
      </w:pPr>
      <w:r>
        <w:rPr>
          <w:rFonts w:ascii="Arial" w:cs="Arial" w:eastAsia="Arial" w:hAnsi="Arial"/>
          <w:sz w:val="24"/>
          <w:szCs w:val="24"/>
        </w:rPr>
        <w:t xml:space="preserve">Одновременно следует учесть, что в соответствии с </w:t>
      </w:r>
      <w:hyperlink w:history="1" r:id="rIdf_upyuqngl1ugwb7msw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уполномоченных государственных органах по осуществлению государственного контроля (надзора) за соблюдением требований технических регламентов Таможенного союза" от 27 апреля 2015 года № 260 государственный контроль (надзор) за соблюдением требований технических регламентов Таможенного союза осуществляется соответствующими уполномоченными государственными органами.</w:t>
      </w:r>
    </w:p>
    <w:p>
      <w:pPr>
        <w:spacing w:after="60"/>
        <w:ind w:firstLine="567"/>
        <w:jc w:val="both"/>
      </w:pPr>
      <w:r>
        <w:rPr>
          <w:rFonts w:ascii="Arial" w:cs="Arial" w:eastAsia="Arial" w:hAnsi="Arial"/>
          <w:sz w:val="24"/>
          <w:szCs w:val="24"/>
        </w:rPr>
        <w:t xml:space="preserve">Также обращаем внимание, что проверка субъектов предпринимательства осуществляется в соответствии с </w:t>
      </w:r>
      <w:hyperlink w:history="1" r:id="rIdf7w5m9jq4sljqnqdwjvu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а осуществление государственного контроля (надзора) в функции национального органа по стандартизации в соответствии с </w:t>
      </w:r>
      <w:hyperlink w:history="1" r:id="rIdzwvvodkit1udyn2disnh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не входит.</w:t>
      </w:r>
    </w:p>
    <w:p>
      <w:pPr>
        <w:spacing w:after="60"/>
        <w:ind w:firstLine="567"/>
        <w:jc w:val="both"/>
      </w:pPr>
      <w:r>
        <w:rPr>
          <w:rFonts w:ascii="Arial" w:cs="Arial" w:eastAsia="Arial" w:hAnsi="Arial"/>
          <w:sz w:val="24"/>
          <w:szCs w:val="24"/>
        </w:rPr>
        <w:t xml:space="preserve">12. Пунктом 2 части 2 статьи 13 проекта Закона предлагается установить, что "юридические лица и индивидуальные предприниматели обеспечивают размещение информационных знаков (плакатов) о запрете курения на входе и внутри, указанных в части 1 настоящей статьи Закона, в соответствии с правилами, установленными уполномоченным государственным органом в области здравоохранения Кыргызской Республики".</w:t>
      </w:r>
    </w:p>
    <w:p>
      <w:pPr>
        <w:spacing w:after="60"/>
        <w:ind w:firstLine="567"/>
        <w:jc w:val="both"/>
      </w:pPr>
      <w:r>
        <w:rPr>
          <w:rFonts w:ascii="Arial" w:cs="Arial" w:eastAsia="Arial" w:hAnsi="Arial"/>
          <w:sz w:val="24"/>
          <w:szCs w:val="24"/>
        </w:rPr>
        <w:t xml:space="preserve">Вместе с тем отмечаем, что в случае, если указанные правила будут обладать характеристиками нормативного правового акта, то они соответственно подлежат утверждению нормотворческим субъектом.</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1lowbpden0mn3hgvuvu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 права - это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При этом следует отметить, что правом принимать (издавать) нормативные правовые акты наделены нормотворческие органы (должностные лица), перечень которых определен в </w:t>
      </w:r>
      <w:r>
        <w:rPr>
          <w:rFonts w:ascii="Arial" w:cs="Arial" w:eastAsia="Arial" w:hAnsi="Arial"/>
          <w:sz w:val="24"/>
          <w:szCs w:val="24"/>
        </w:rPr>
        <w:t xml:space="preserve">статье 5</w:t>
      </w:r>
      <w:r>
        <w:rPr>
          <w:rFonts w:ascii="Arial" w:cs="Arial" w:eastAsia="Arial" w:hAnsi="Arial"/>
          <w:sz w:val="24"/>
          <w:szCs w:val="24"/>
        </w:rPr>
        <w:t xml:space="preserve"> указанного </w:t>
      </w:r>
      <w:hyperlink w:history="1" r:id="rIdqlk67rnsj9o-dmxx5zz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Статьями 14, 16 и 18 проекта Закона предлагается установить требования к курительным табачным изделиям, к предупреждению о вреде потребления табачных изделий и другой информации, предназначенной для размещения на потребительской упаковке курительных табачных изделий, насвая, курительного табака (и/или курительной смеси), ЭСДН/ЭСДПН, на электрических курительных изделиях и его упаковке, на водяных трубках, а также отчетность производителей насвая, электрических курительных изделий, ЭСДН/ЭСДПН, жидкостей для них, поставляющих свой товар на рынок Кыргызской Республики.</w:t>
      </w:r>
    </w:p>
    <w:p>
      <w:pPr>
        <w:spacing w:after="60"/>
        <w:ind w:firstLine="567"/>
        <w:jc w:val="both"/>
      </w:pPr>
      <w:r>
        <w:rPr>
          <w:rFonts w:ascii="Arial" w:cs="Arial" w:eastAsia="Arial" w:hAnsi="Arial"/>
          <w:sz w:val="24"/>
          <w:szCs w:val="24"/>
        </w:rPr>
        <w:t xml:space="preserve">Вместе с тем следует обратить внимание, что согласно </w:t>
      </w:r>
      <w:r>
        <w:rPr>
          <w:rFonts w:ascii="Arial" w:cs="Arial" w:eastAsia="Arial" w:hAnsi="Arial"/>
          <w:sz w:val="24"/>
          <w:szCs w:val="24"/>
        </w:rPr>
        <w:t xml:space="preserve">статье 52</w:t>
      </w:r>
      <w:r>
        <w:rPr>
          <w:rFonts w:ascii="Arial" w:cs="Arial" w:eastAsia="Arial" w:hAnsi="Arial"/>
          <w:sz w:val="24"/>
          <w:szCs w:val="24"/>
        </w:rPr>
        <w:t xml:space="preserve"> Договора о Евразийском экономическом союзе от 29 мая 2014 года технические регламенты Союза или национальные обязательные требования действуют только в отношении продукции, включенной в утверждаемый Комиссией единый перечень. Государства-члены не допускают установление в своем законодательстве обязательных требований в отношении продукции, не включенной в единый перечень. Технические регламенты Союза имеют прямое действие на территории Союза.</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53</w:t>
      </w:r>
      <w:r>
        <w:rPr>
          <w:rFonts w:ascii="Arial" w:cs="Arial" w:eastAsia="Arial" w:hAnsi="Arial"/>
          <w:sz w:val="24"/>
          <w:szCs w:val="24"/>
        </w:rPr>
        <w:t xml:space="preserve"> указанного Договора продукция, в отношении которой вступил в силу технический регламент Союза, выпускается в обращение на территории Союза при условии, что она прошла необходимые процедуры оценки соответствия, установленные техническим регламентом Союза. Государства-члены обеспечивают обращение продукции, соответствующей требованиям технического регламента Союза, на своей территории без предъявления дополнительных по отношению к содержащимся в техническом регламенте Союза требований к такой продукции и без проведения дополнительных процедур оценки соответствия.</w:t>
      </w:r>
    </w:p>
    <w:p>
      <w:pPr>
        <w:spacing w:after="60"/>
        <w:ind w:firstLine="567"/>
        <w:jc w:val="both"/>
      </w:pPr>
      <w:r>
        <w:rPr>
          <w:rFonts w:ascii="Arial" w:cs="Arial" w:eastAsia="Arial" w:hAnsi="Arial"/>
          <w:sz w:val="24"/>
          <w:szCs w:val="24"/>
        </w:rPr>
        <w:t xml:space="preserve">Между тем отмечаем, что на территории Кыргызской Республики с 15 мая 2016 года действует Технический регламент Таможенного союза "Технический регламент на табачную продукцию" (ТР ТС 035/2014), принятый решением Совета Евразийской экономической комиссии от 12 ноября 2014 года № 107, устанавливающий обязательные для применения и исполнения требования к табачной продукции, информации (маркировке), наносимой на потребительскую упаковку табачной продукции, единые требования к упаковке табачных изделий, а также формы, схемы и процедуры оценки соответствия табачной продукции, которые применяются всеми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Также вышеназванный Технический регламент предусматривает предоставление отчетности изготовителям (импортерам) табачных изделий по форме, утверждаемой Евразийской экономической комиссией. Однако на сегодняшний день форма отчетности еще не утверждена.</w:t>
      </w:r>
    </w:p>
    <w:p>
      <w:pPr>
        <w:spacing w:after="60"/>
        <w:ind w:firstLine="567"/>
        <w:jc w:val="both"/>
      </w:pPr>
      <w:r>
        <w:rPr>
          <w:rFonts w:ascii="Arial" w:cs="Arial" w:eastAsia="Arial" w:hAnsi="Arial"/>
          <w:sz w:val="24"/>
          <w:szCs w:val="24"/>
        </w:rPr>
        <w:t xml:space="preserve">При этом анализ показывает, что в проекте Закона имеются дополнительные требования к табачным изделиям, которые противоречат нормам вышеназванного </w:t>
      </w:r>
      <w:r>
        <w:rPr>
          <w:rFonts w:ascii="Arial" w:cs="Arial" w:eastAsia="Arial" w:hAnsi="Arial"/>
          <w:sz w:val="24"/>
          <w:szCs w:val="24"/>
        </w:rPr>
        <w:t xml:space="preserve">Договора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связи с вышеизложенным указанные статьи проекта Закона предлагаем пересмотреть и дополнительно проанализировать на предмет соответствия положениям вышеназванных Технического регламента и </w:t>
      </w:r>
      <w:r>
        <w:rPr>
          <w:rFonts w:ascii="Arial" w:cs="Arial" w:eastAsia="Arial" w:hAnsi="Arial"/>
          <w:sz w:val="24"/>
          <w:szCs w:val="24"/>
        </w:rPr>
        <w:t xml:space="preserve">Договора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Частью 1 статьи 15 проекта Закона предлагается установить, что на территории Кыргызской Республики запрещается производство, ввоз и обращение (в том числе хранение, оптовая и розничная торговля, вывоз) некурительных табачных изделий, за исключением насвая.</w:t>
      </w:r>
    </w:p>
    <w:p>
      <w:pPr>
        <w:spacing w:after="60"/>
        <w:ind w:firstLine="567"/>
        <w:jc w:val="both"/>
      </w:pPr>
      <w:r>
        <w:rPr>
          <w:rFonts w:ascii="Arial" w:cs="Arial" w:eastAsia="Arial" w:hAnsi="Arial"/>
          <w:sz w:val="24"/>
          <w:szCs w:val="24"/>
        </w:rPr>
        <w:t xml:space="preserve">В свою очередь следует принять во внимание, что указанная норма проекта Закона противоречит законодательству Всемирной торговой организации, в частности пункту 1 статьи XI Генерального </w:t>
      </w:r>
      <w:r>
        <w:rPr>
          <w:rFonts w:ascii="Arial" w:cs="Arial" w:eastAsia="Arial" w:hAnsi="Arial"/>
          <w:sz w:val="24"/>
          <w:szCs w:val="24"/>
        </w:rPr>
        <w:t xml:space="preserve">соглашения</w:t>
      </w:r>
      <w:r>
        <w:rPr>
          <w:rFonts w:ascii="Arial" w:cs="Arial" w:eastAsia="Arial" w:hAnsi="Arial"/>
          <w:sz w:val="24"/>
          <w:szCs w:val="24"/>
        </w:rPr>
        <w:t xml:space="preserve"> по тарифам и торговле (ГАТТ 1947).</w:t>
      </w:r>
    </w:p>
    <w:p>
      <w:pPr>
        <w:spacing w:after="60"/>
        <w:ind w:firstLine="567"/>
        <w:jc w:val="both"/>
      </w:pPr>
      <w:r>
        <w:rPr>
          <w:rFonts w:ascii="Arial" w:cs="Arial" w:eastAsia="Arial" w:hAnsi="Arial"/>
          <w:sz w:val="24"/>
          <w:szCs w:val="24"/>
        </w:rPr>
        <w:t xml:space="preserve">15. Пунктом 2 части 2 статьи 15 проекта Закона предлагается на территории Кыргызской Республики запретить производство насвая без лицензии.</w:t>
      </w:r>
    </w:p>
    <w:p>
      <w:pPr>
        <w:spacing w:after="60"/>
        <w:ind w:firstLine="567"/>
        <w:jc w:val="both"/>
      </w:pPr>
      <w:r>
        <w:rPr>
          <w:rFonts w:ascii="Arial" w:cs="Arial" w:eastAsia="Arial" w:hAnsi="Arial"/>
          <w:sz w:val="24"/>
          <w:szCs w:val="24"/>
        </w:rPr>
        <w:t xml:space="preserve">Однако необходимо отметить, что </w:t>
      </w: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u2cpzeetkvnjionjwlzx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установлен исчерпывающий перечень видов деятельности, подлежащих лицензированию, в который производство насвая не входит.</w:t>
      </w:r>
    </w:p>
    <w:p>
      <w:pPr>
        <w:spacing w:after="60"/>
        <w:ind w:firstLine="567"/>
        <w:jc w:val="both"/>
      </w:pPr>
      <w:r>
        <w:rPr>
          <w:rFonts w:ascii="Arial" w:cs="Arial" w:eastAsia="Arial" w:hAnsi="Arial"/>
          <w:sz w:val="24"/>
          <w:szCs w:val="24"/>
        </w:rPr>
        <w:t xml:space="preserve">Одновременно, относительно включения в проект Закона требований к насваю и предоставления отчетности по насваю отмечаем, что неясно, каким образом производители насвая будут предоставлять отчетность, учитывая тот факт, что его изготовление и распространение на сегодняшний день осуществляются кустарным способом, без разрешительных документов.</w:t>
      </w:r>
    </w:p>
    <w:p>
      <w:pPr>
        <w:spacing w:after="60"/>
        <w:ind w:firstLine="567"/>
        <w:jc w:val="both"/>
      </w:pPr>
      <w:r>
        <w:rPr>
          <w:rFonts w:ascii="Arial" w:cs="Arial" w:eastAsia="Arial" w:hAnsi="Arial"/>
          <w:sz w:val="24"/>
          <w:szCs w:val="24"/>
        </w:rPr>
        <w:t xml:space="preserve">В связи с чем предлагаем предусмотреть конкретные механизмы регулирования изготовления и распространения насвая в рамках рассматриваемого проекта Закона.</w:t>
      </w:r>
    </w:p>
    <w:p>
      <w:pPr>
        <w:spacing w:after="60"/>
        <w:ind w:firstLine="567"/>
        <w:jc w:val="both"/>
      </w:pPr>
      <w:r>
        <w:rPr>
          <w:rFonts w:ascii="Arial" w:cs="Arial" w:eastAsia="Arial" w:hAnsi="Arial"/>
          <w:sz w:val="24"/>
          <w:szCs w:val="24"/>
        </w:rPr>
        <w:t xml:space="preserve">16. Пунктом 3 части 3 статьи 15 проекта Закона предусматривается, что на территории Кыргызской Республики запрещается обращение насвая без акцизной марки.</w:t>
      </w:r>
    </w:p>
    <w:p>
      <w:pPr>
        <w:spacing w:after="60"/>
        <w:ind w:firstLine="567"/>
        <w:jc w:val="both"/>
      </w:pPr>
      <w:r>
        <w:rPr>
          <w:rFonts w:ascii="Arial" w:cs="Arial" w:eastAsia="Arial" w:hAnsi="Arial"/>
          <w:sz w:val="24"/>
          <w:szCs w:val="24"/>
        </w:rPr>
        <w:t xml:space="preserve">При этом отмечаем, что насвай не входит в перечень подакцизных товаров, установленных </w:t>
      </w:r>
      <w:r>
        <w:rPr>
          <w:rFonts w:ascii="Arial" w:cs="Arial" w:eastAsia="Arial" w:hAnsi="Arial"/>
          <w:sz w:val="24"/>
          <w:szCs w:val="24"/>
        </w:rPr>
        <w:t xml:space="preserve">статьей 285</w:t>
      </w:r>
      <w:r>
        <w:rPr>
          <w:rFonts w:ascii="Arial" w:cs="Arial" w:eastAsia="Arial" w:hAnsi="Arial"/>
          <w:sz w:val="24"/>
          <w:szCs w:val="24"/>
        </w:rPr>
        <w:t xml:space="preserve"> Налогового </w:t>
      </w:r>
      <w:hyperlink w:history="1" r:id="rIdsqrqqav2bu93adhjp0tk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17. Пунктом 1 части 2 статьи 19 проекта Закона предлагается запретить "торговлю сигаретами поштучно, а также в пачках, содержащих менее или более 20 штук сигарет".</w:t>
      </w:r>
    </w:p>
    <w:p>
      <w:pPr>
        <w:spacing w:after="60"/>
        <w:ind w:firstLine="567"/>
        <w:jc w:val="both"/>
      </w:pPr>
      <w:r>
        <w:rPr>
          <w:rFonts w:ascii="Arial" w:cs="Arial" w:eastAsia="Arial" w:hAnsi="Arial"/>
          <w:sz w:val="24"/>
          <w:szCs w:val="24"/>
        </w:rPr>
        <w:t xml:space="preserve">Вместе с тем отмечаем о неясности количества сигарет, допустимого к продаже.</w:t>
      </w:r>
    </w:p>
    <w:p>
      <w:pPr>
        <w:spacing w:after="60"/>
        <w:ind w:firstLine="567"/>
        <w:jc w:val="both"/>
      </w:pPr>
      <w:r>
        <w:rPr>
          <w:rFonts w:ascii="Arial" w:cs="Arial" w:eastAsia="Arial" w:hAnsi="Arial"/>
          <w:sz w:val="24"/>
          <w:szCs w:val="24"/>
        </w:rPr>
        <w:t xml:space="preserve">18. Пунктом 5 части 2 статьи 19 проекта Закона запрещается продажа всех видов сигарет, кроме сигарет с пониженной способностью вызвать возгорание.</w:t>
      </w:r>
    </w:p>
    <w:p>
      <w:pPr>
        <w:spacing w:after="60"/>
        <w:ind w:firstLine="567"/>
        <w:jc w:val="both"/>
      </w:pPr>
      <w:r>
        <w:rPr>
          <w:rFonts w:ascii="Arial" w:cs="Arial" w:eastAsia="Arial" w:hAnsi="Arial"/>
          <w:sz w:val="24"/>
          <w:szCs w:val="24"/>
        </w:rPr>
        <w:t xml:space="preserve">При этом, учитывая, что табачная продукция, соответствующая требованиям Технического регламента Таможенного союза "Технический регламент на табачную продукцию" (ТР ТС 035/2014), принятого решением Совета Евразийской экономической комиссии от 12 ноября 2014 года № 107, выпускается в обращение без установления дополнительных требований, пункт 5 части 2 статьи 19 проекта Закона предлагаем пересмотреть.</w:t>
      </w:r>
    </w:p>
    <w:p>
      <w:pPr>
        <w:spacing w:after="60"/>
        <w:ind w:firstLine="567"/>
        <w:jc w:val="both"/>
      </w:pPr>
      <w:r>
        <w:rPr>
          <w:rFonts w:ascii="Arial" w:cs="Arial" w:eastAsia="Arial" w:hAnsi="Arial"/>
          <w:sz w:val="24"/>
          <w:szCs w:val="24"/>
        </w:rPr>
        <w:t xml:space="preserve">Одновременно предлагаем уточнить, о каких именно видах сигарет идет речь, и существуют ли критерии, к которым их можно отнести.</w:t>
      </w:r>
    </w:p>
    <w:p>
      <w:pPr>
        <w:spacing w:after="60"/>
        <w:ind w:firstLine="567"/>
        <w:jc w:val="both"/>
      </w:pPr>
      <w:r>
        <w:rPr>
          <w:rFonts w:ascii="Arial" w:cs="Arial" w:eastAsia="Arial" w:hAnsi="Arial"/>
          <w:sz w:val="24"/>
          <w:szCs w:val="24"/>
        </w:rPr>
        <w:t xml:space="preserve">19. Исходя из наименования статьи 20 проекта Закона, данная статья проекта Закона должна содержать права и обязанности лиц, осуществляющих реализацию табачных изделий, электрических курительных изделий, ЭСДН и ЭСДПН.</w:t>
      </w:r>
    </w:p>
    <w:p>
      <w:pPr>
        <w:spacing w:after="60"/>
        <w:ind w:firstLine="567"/>
        <w:jc w:val="both"/>
      </w:pPr>
      <w:r>
        <w:rPr>
          <w:rFonts w:ascii="Arial" w:cs="Arial" w:eastAsia="Arial" w:hAnsi="Arial"/>
          <w:sz w:val="24"/>
          <w:szCs w:val="24"/>
        </w:rPr>
        <w:t xml:space="preserve">Однако обозначенная статья проекта Закона не содержит положения о правах лиц, осуществляющих реализацию табачных изделий, электрических курительных изделий, ЭСДН и ЭСДПН, в связи с чем предлагаем ее доработать.</w:t>
      </w:r>
    </w:p>
    <w:p>
      <w:pPr>
        <w:spacing w:after="60"/>
        <w:ind w:firstLine="567"/>
        <w:jc w:val="both"/>
      </w:pPr>
      <w:r>
        <w:rPr>
          <w:rFonts w:ascii="Arial" w:cs="Arial" w:eastAsia="Arial" w:hAnsi="Arial"/>
          <w:sz w:val="24"/>
          <w:szCs w:val="24"/>
        </w:rPr>
        <w:t xml:space="preserve">20. Пункт 2 части 1 статьи 22 проекта Закона предлагаем пересмотреть, так как принципы и правила зачисления обязательных платежей регулируются </w:t>
      </w:r>
      <w:hyperlink w:history="1" r:id="rIdzwktiuk8xos0iu8xdykk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и Бюджетным </w:t>
      </w:r>
      <w:hyperlink w:history="1" r:id="rIdc_leu21fqbwce03ppheg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21. Учитывая, что статьей 24 проекта Закона предусматривается ответственность за нарушение положений рассматриваемого проекта Закона, часть 3 статьи 13 и часть 15 статьи 16, часть 3 статьи 20 проекта Закона предлагаем исключить.</w:t>
      </w:r>
    </w:p>
    <w:p>
      <w:pPr>
        <w:spacing w:after="60"/>
        <w:ind w:firstLine="567"/>
        <w:jc w:val="both"/>
      </w:pPr>
      <w:r>
        <w:rPr>
          <w:rFonts w:ascii="Arial" w:cs="Arial" w:eastAsia="Arial" w:hAnsi="Arial"/>
          <w:sz w:val="24"/>
          <w:szCs w:val="24"/>
        </w:rPr>
        <w:t xml:space="preserve">22. Частью 3 статьи 25 проекта Закона Правительству поручается в шестимесячный срок привести свои нормативные правовые акты в соответствие с рассматриваемым проектом Закона, в случае его принятия.</w:t>
      </w:r>
    </w:p>
    <w:p>
      <w:pPr>
        <w:spacing w:after="60"/>
        <w:ind w:firstLine="567"/>
        <w:jc w:val="both"/>
      </w:pPr>
      <w:r>
        <w:rPr>
          <w:rFonts w:ascii="Arial" w:cs="Arial" w:eastAsia="Arial" w:hAnsi="Arial"/>
          <w:sz w:val="24"/>
          <w:szCs w:val="24"/>
        </w:rPr>
        <w:t xml:space="preserve">При этом необходимо отметить,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6sw4jkwo9oa5jbfjsokw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Ввиду чего, предлагаем справку-обоснование дополнить сведениями о необходимости разработки или внесения соответствующих поправок в нормативные правовые акты Правительства.</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23. Также, в тексте проекта Закона используются обобщенные и неконкретные формулировки, такие как "и другие", "и т.д.", "других ингредиентов", "других нормативных правовых актов", "другие подобные товары", "другие виды и формы", "другими техническими регламентами Таможенного союза", "других корпоративных интересов", "другие виды деятельности", "другие курительные принадлежности", "другие подобные изделия", "создание иных условий", "могут быть проведены",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w:t>
      </w:r>
    </w:p>
    <w:p>
      <w:pPr>
        <w:spacing w:after="60"/>
        <w:ind w:firstLine="567"/>
        <w:jc w:val="both"/>
      </w:pPr>
      <w:r>
        <w:rPr>
          <w:rFonts w:ascii="Arial" w:cs="Arial" w:eastAsia="Arial" w:hAnsi="Arial"/>
          <w:sz w:val="24"/>
          <w:szCs w:val="24"/>
        </w:rPr>
        <w:t xml:space="preserve">В связи с этим предлагаем соответствующие положения проекта Закона пересмотреть.</w:t>
      </w:r>
    </w:p>
    <w:p>
      <w:pPr>
        <w:spacing w:after="60"/>
        <w:ind w:firstLine="567"/>
        <w:jc w:val="both"/>
      </w:pPr>
      <w:r>
        <w:rPr>
          <w:rFonts w:ascii="Arial" w:cs="Arial" w:eastAsia="Arial" w:hAnsi="Arial"/>
          <w:sz w:val="24"/>
          <w:szCs w:val="24"/>
        </w:rPr>
        <w:t xml:space="preserve">24. Относительно анализа регулятивного воздействия (далее - АРВ) к проекту Закона отмечаем, что представленный АРВ не соответствует требованиям </w:t>
      </w:r>
      <w:hyperlink w:history="1" r:id="rId901llexdwu6kfuasrbdsm">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ick1ubtiq-ucocpyi2s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частности, при разработке АРВ в состав рабочей группы не включены предприниматели и представители коммерческих организаций, а также в АРВ не определены качественные индикаторы достижения целей (показателей воздействия) с целевыми значениями для оценки их достижения.</w:t>
      </w:r>
    </w:p>
    <w:p>
      <w:pPr>
        <w:spacing w:after="60"/>
        <w:ind w:firstLine="567"/>
        <w:jc w:val="both"/>
      </w:pPr>
      <w:r>
        <w:rPr>
          <w:rFonts w:ascii="Arial" w:cs="Arial" w:eastAsia="Arial" w:hAnsi="Arial"/>
          <w:sz w:val="24"/>
          <w:szCs w:val="24"/>
        </w:rPr>
        <w:t xml:space="preserve">Также отмечаем, что пункт 13 указанной </w:t>
      </w:r>
      <w:hyperlink w:history="1" r:id="rIdg62uxvicrhposk9te8knd">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предусматривает, что помимо вариантов регулирования "оставить все как есть", необходимо проработать не менее двух вариантов, предполагающих изменение государственного регулирования, для каждого из которых необходимо привести подробное описание по следующим пунктам:</w:t>
      </w:r>
    </w:p>
    <w:p>
      <w:pPr>
        <w:spacing w:after="60"/>
        <w:ind w:firstLine="567"/>
        <w:jc w:val="both"/>
      </w:pPr>
      <w:r>
        <w:rPr>
          <w:rFonts w:ascii="Arial" w:cs="Arial" w:eastAsia="Arial" w:hAnsi="Arial"/>
          <w:sz w:val="24"/>
          <w:szCs w:val="24"/>
        </w:rPr>
        <w:t xml:space="preserve">- способ регулирования;</w:t>
      </w:r>
    </w:p>
    <w:p>
      <w:pPr>
        <w:spacing w:after="60"/>
        <w:ind w:firstLine="567"/>
        <w:jc w:val="both"/>
      </w:pPr>
      <w:r>
        <w:rPr>
          <w:rFonts w:ascii="Arial" w:cs="Arial" w:eastAsia="Arial" w:hAnsi="Arial"/>
          <w:sz w:val="24"/>
          <w:szCs w:val="24"/>
        </w:rPr>
        <w:t xml:space="preserve">- регулятивное воздействие;</w:t>
      </w:r>
    </w:p>
    <w:p>
      <w:pPr>
        <w:spacing w:after="60"/>
        <w:ind w:firstLine="567"/>
        <w:jc w:val="both"/>
      </w:pPr>
      <w:r>
        <w:rPr>
          <w:rFonts w:ascii="Arial" w:cs="Arial" w:eastAsia="Arial" w:hAnsi="Arial"/>
          <w:sz w:val="24"/>
          <w:szCs w:val="24"/>
        </w:rPr>
        <w:t xml:space="preserve">- реализационные риски;</w:t>
      </w:r>
    </w:p>
    <w:p>
      <w:pPr>
        <w:spacing w:after="60"/>
        <w:ind w:firstLine="567"/>
        <w:jc w:val="both"/>
      </w:pPr>
      <w:r>
        <w:rPr>
          <w:rFonts w:ascii="Arial" w:cs="Arial" w:eastAsia="Arial" w:hAnsi="Arial"/>
          <w:sz w:val="24"/>
          <w:szCs w:val="24"/>
        </w:rPr>
        <w:t xml:space="preserve">- правовой и иные анализы;</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результаты общественных обсуждений.</w:t>
      </w:r>
    </w:p>
    <w:p>
      <w:pPr>
        <w:spacing w:after="60"/>
        <w:ind w:firstLine="567"/>
        <w:jc w:val="both"/>
      </w:pPr>
      <w:r>
        <w:rPr>
          <w:rFonts w:ascii="Arial" w:cs="Arial" w:eastAsia="Arial" w:hAnsi="Arial"/>
          <w:sz w:val="24"/>
          <w:szCs w:val="24"/>
        </w:rPr>
        <w:t xml:space="preserve">В этой связи, в целях обеспечения возможности полноценного сравнения предлагаемых вариантов регулирования и впоследствии принятия обоснованного решения отмечаем необходимость разработки альтернативного варианта регулирования и приведения описания по вышеуказанным пунктам.</w:t>
      </w:r>
    </w:p>
    <w:p>
      <w:pPr>
        <w:spacing w:after="60"/>
        <w:ind w:firstLine="567"/>
        <w:jc w:val="both"/>
      </w:pPr>
      <w:r>
        <w:rPr>
          <w:rFonts w:ascii="Arial" w:cs="Arial" w:eastAsia="Arial" w:hAnsi="Arial"/>
          <w:sz w:val="24"/>
          <w:szCs w:val="24"/>
        </w:rPr>
        <w:t xml:space="preserve">25. Дополнительно, в порядке информации отмечаем, что на этапе размещения проекта Закона на официальном сайте Жогорку Кенеша Кыргызской Республики (4 июля 2018 года) для общественного обсуждения Департамент функционирования Евразийской экономической комиссии (исх. № 250238 от 11.07.2018 года) информировал Министерство экономики Кыргызской Республики о наличии в проекте Закона дублирующих положений и противоречий с нормативной правовой базой Евразийского экономического союза. Данные замечания Министерством экономики Кыргызской Республики были направлены по электронной почте в Жогорку Кенеш Кыргызской Республики: jkenesh303@gmail.com., для учета при доработке проекта Закона, однако они не были учтены.</w:t>
      </w:r>
    </w:p>
    <w:p>
      <w:pPr>
        <w:spacing w:after="60"/>
        <w:ind w:firstLine="567"/>
        <w:jc w:val="both"/>
      </w:pPr>
      <w:r>
        <w:rPr>
          <w:rFonts w:ascii="Arial" w:cs="Arial" w:eastAsia="Arial" w:hAnsi="Arial"/>
          <w:sz w:val="24"/>
          <w:szCs w:val="24"/>
        </w:rPr>
        <w:t xml:space="preserve">В целом отмечаем, что проект Закона нуждается в доработке в соответствии с правилами нормотворческой техники, установленными </w:t>
      </w:r>
      <w:hyperlink w:history="1" r:id="rIdhlpizaqbaj_ynbq0xkke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7toiqubzqxlkpwvmmsm0d">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3q9mvskj6mby4et8pbp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вышеуказанного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mpflaed4gemn-bjgptw">
      <w:r>
        <w:rPr>
          <w:rFonts w:ascii="Arial" w:cs="Arial" w:eastAsia="Arial" w:hAnsi="Arial"/>
          <w:color w:val="132D3F"/>
          <w:sz w:val="16"/>
          <w:szCs w:val="16"/>
          <w:u w:val="single"/>
        </w:rPr>
        <w:t xml:space="preserve">dalil.kg/document/14226</w:t>
      </w:r>
    </w:hyperlink>
  </w:p>
  <w:p>
    <w:pPr>
      <w:spacing w:after="0" w:before="40"/>
      <w:jc w:val="center"/>
    </w:pPr>
    <w:hyperlink w:history="1" r:id="rIdycycevbepkmc_hxz3cor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9nfq31lrj5d24bquo9n" Type="http://schemas.openxmlformats.org/officeDocument/2006/relationships/hyperlink" Target="https://dalil.kg/document/203685" TargetMode="External"/><Relationship Id="rIdptxuhylbjwwomsqnsmmsl" Type="http://schemas.openxmlformats.org/officeDocument/2006/relationships/hyperlink" Target="https://dalil.kg/document/14226#p1" TargetMode="External"/><Relationship Id="rIdyg8aeakidwmtv_dppkppi" Type="http://schemas.openxmlformats.org/officeDocument/2006/relationships/hyperlink" Target="https://dalil.kg/document/203685" TargetMode="External"/><Relationship Id="rIdqxxh8o9bln1z49qltpae9" Type="http://schemas.openxmlformats.org/officeDocument/2006/relationships/hyperlink" Target="https://dalil.kg/document/202591" TargetMode="External"/><Relationship Id="rId-yi9-5pb54cfs0ibn-3w8" Type="http://schemas.openxmlformats.org/officeDocument/2006/relationships/hyperlink" Target="https://dalil.kg/document/1453" TargetMode="External"/><Relationship Id="rIdtula7a1xkkc_yleuggbos" Type="http://schemas.openxmlformats.org/officeDocument/2006/relationships/hyperlink" Target="https://dalil.kg/document/202591" TargetMode="External"/><Relationship Id="rIdqworgehiz3nlo36luuibx" Type="http://schemas.openxmlformats.org/officeDocument/2006/relationships/hyperlink" Target="https://dalil.kg/document/202913" TargetMode="External"/><Relationship Id="rIdlfv6-omtmede1bapbcdge" Type="http://schemas.openxmlformats.org/officeDocument/2006/relationships/hyperlink" Target="https://dalil.kg/document/202913" TargetMode="External"/><Relationship Id="rIdizelrdjmracbi23tnbkge" Type="http://schemas.openxmlformats.org/officeDocument/2006/relationships/hyperlink" Target="https://dalil.kg/document/205286" TargetMode="External"/><Relationship Id="rIdozgrxwxwalfxdyrlfbtx-" Type="http://schemas.openxmlformats.org/officeDocument/2006/relationships/hyperlink" Target="https://dalil.kg/document/111716" TargetMode="External"/><Relationship Id="rIdxgufisa81mkzbwbrhyg9w" Type="http://schemas.openxmlformats.org/officeDocument/2006/relationships/hyperlink" Target="https://dalil.kg/document/4" TargetMode="External"/><Relationship Id="rIdfxry1ogb23el_bmrwsddu" Type="http://schemas.openxmlformats.org/officeDocument/2006/relationships/hyperlink" Target="https://dalil.kg/document/4" TargetMode="External"/><Relationship Id="rIdcgvrwynxyjavzxdg24bte" Type="http://schemas.openxmlformats.org/officeDocument/2006/relationships/hyperlink" Target="https://dalil.kg/document/202591" TargetMode="External"/><Relationship Id="rIdii94kf8o0nuqvedr2kgai" Type="http://schemas.openxmlformats.org/officeDocument/2006/relationships/hyperlink" Target="https://dalil.kg/document/76491" TargetMode="External"/><Relationship Id="rIdg6jxd2gyju146vzl4ebo_" Type="http://schemas.openxmlformats.org/officeDocument/2006/relationships/hyperlink" Target="https://dalil.kg/document/76490" TargetMode="External"/><Relationship Id="rId5xsxdqz_88vnm-m4k1mnu" Type="http://schemas.openxmlformats.org/officeDocument/2006/relationships/hyperlink" Target="https://dalil.kg/document/202913" TargetMode="External"/><Relationship Id="rIderfafmo6yxwwlsdks3uf9" Type="http://schemas.openxmlformats.org/officeDocument/2006/relationships/hyperlink" Target="https://dalil.kg/document/202591" TargetMode="External"/><Relationship Id="rIdpvu_18oo0mzfpeozbjiit" Type="http://schemas.openxmlformats.org/officeDocument/2006/relationships/hyperlink" Target="https://dalil.kg/document/995" TargetMode="External"/><Relationship Id="rId0grurnerzvlisdgqyfi80" Type="http://schemas.openxmlformats.org/officeDocument/2006/relationships/hyperlink" Target="https://dalil.kg/document/203685" TargetMode="External"/><Relationship Id="rIdf_upyuqngl1ugwb7mswbw" Type="http://schemas.openxmlformats.org/officeDocument/2006/relationships/hyperlink" Target="https://dalil.kg/document/97521" TargetMode="External"/><Relationship Id="rIdf7w5m9jq4sljqnqdwjvuh" Type="http://schemas.openxmlformats.org/officeDocument/2006/relationships/hyperlink" Target="https://dalil.kg/document/202105" TargetMode="External"/><Relationship Id="rIdzwvvodkit1udyn2disnh0" Type="http://schemas.openxmlformats.org/officeDocument/2006/relationships/hyperlink" Target="https://dalil.kg/document/1453" TargetMode="External"/><Relationship Id="rId1lowbpden0mn3hgvuvufs" Type="http://schemas.openxmlformats.org/officeDocument/2006/relationships/hyperlink" Target="https://dalil.kg/document/202591" TargetMode="External"/><Relationship Id="rIdqlk67rnsj9o-dmxx5zzms" Type="http://schemas.openxmlformats.org/officeDocument/2006/relationships/hyperlink" Target="https://dalil.kg/document/202591" TargetMode="External"/><Relationship Id="rIdu2cpzeetkvnjionjwlzx2" Type="http://schemas.openxmlformats.org/officeDocument/2006/relationships/hyperlink" Target="https://dalil.kg/document/205058" TargetMode="External"/><Relationship Id="rIdsqrqqav2bu93adhjp0tkj" Type="http://schemas.openxmlformats.org/officeDocument/2006/relationships/hyperlink" Target="https://dalil.kg/document/202445" TargetMode="External"/><Relationship Id="rIdzwktiuk8xos0iu8xdykkn" Type="http://schemas.openxmlformats.org/officeDocument/2006/relationships/hyperlink" Target="https://dalil.kg/document/111820" TargetMode="External"/><Relationship Id="rIdc_leu21fqbwce03pphegj" Type="http://schemas.openxmlformats.org/officeDocument/2006/relationships/hyperlink" Target="https://dalil.kg/document/111338" TargetMode="External"/><Relationship Id="rId6sw4jkwo9oa5jbfjsokwb" Type="http://schemas.openxmlformats.org/officeDocument/2006/relationships/hyperlink" Target="https://dalil.kg/document/202591" TargetMode="External"/><Relationship Id="rId901llexdwu6kfuasrbdsm" Type="http://schemas.openxmlformats.org/officeDocument/2006/relationships/hyperlink" Target="https://dalil.kg/document/97019" TargetMode="External"/><Relationship Id="rIdick1ubtiq-ucocpyi2s0s" Type="http://schemas.openxmlformats.org/officeDocument/2006/relationships/hyperlink" Target="https://dalil.kg/document/97018" TargetMode="External"/><Relationship Id="rIdg62uxvicrhposk9te8knd" Type="http://schemas.openxmlformats.org/officeDocument/2006/relationships/hyperlink" Target="https://dalil.kg/document/97019" TargetMode="External"/><Relationship Id="rIdhlpizaqbaj_ynbq0xkke9" Type="http://schemas.openxmlformats.org/officeDocument/2006/relationships/hyperlink" Target="https://dalil.kg/document/202591" TargetMode="External"/><Relationship Id="rId7toiqubzqxlkpwvmmsm0d" Type="http://schemas.openxmlformats.org/officeDocument/2006/relationships/hyperlink" Target="https://dalil.kg/document/76491" TargetMode="External"/><Relationship Id="rId3q9mvskj6mby4et8pbp4d"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mpflaed4gemn-bjgptw" Type="http://schemas.openxmlformats.org/officeDocument/2006/relationships/hyperlink" Target="https://dalil.kg/document/14226" TargetMode="External"/><Relationship Id="rIdycycevbepkmc_hxz3cor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2026-10-03T23:15:55.704Z</dcterms:created>
  <dcterms:modified xsi:type="dcterms:W3CDTF">2026-10-03T23:15:55.704Z</dcterms:modified>
</cp:coreProperties>
</file>

<file path=docProps/custom.xml><?xml version="1.0" encoding="utf-8"?>
<Properties xmlns="http://schemas.openxmlformats.org/officeDocument/2006/custom-properties" xmlns:vt="http://schemas.openxmlformats.org/officeDocument/2006/docPropsVTypes"/>
</file>